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A42A82" w:rsidRDefault="00852B69" w:rsidP="0069597E">
      <w:pPr>
        <w:tabs>
          <w:tab w:val="left" w:pos="1946"/>
        </w:tabs>
        <w:spacing w:before="312" w:after="312"/>
        <w:ind w:leftChars="472" w:left="991"/>
        <w:jc w:val="center"/>
        <w:rPr>
          <w:rFonts w:ascii="黑体" w:eastAsia="黑体" w:hAnsi="黑体"/>
          <w:sz w:val="32"/>
          <w:szCs w:val="36"/>
        </w:rPr>
      </w:pPr>
      <w:r w:rsidRPr="00A42A82">
        <w:rPr>
          <w:rFonts w:ascii="黑体" w:eastAsia="黑体" w:hAnsi="黑体"/>
          <w:noProof/>
          <w:sz w:val="32"/>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28625"/>
                    </a:xfrm>
                    <a:prstGeom prst="rect">
                      <a:avLst/>
                    </a:prstGeom>
                    <a:noFill/>
                    <a:ln>
                      <a:noFill/>
                    </a:ln>
                  </pic:spPr>
                </pic:pic>
              </a:graphicData>
            </a:graphic>
          </wp:anchor>
        </w:drawing>
      </w:r>
      <w:r w:rsidR="00593347">
        <w:rPr>
          <w:rFonts w:ascii="黑体" w:eastAsia="黑体" w:hAnsi="黑体"/>
          <w:noProof/>
          <w:sz w:val="32"/>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E27CD7" w:rsidRPr="000A7BE5" w:rsidRDefault="00E27CD7"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sidRPr="000A7BE5">
                    <w:rPr>
                      <w:rFonts w:ascii="黑体" w:eastAsia="黑体" w:hAnsi="黑体"/>
                      <w:color w:val="2E74B5" w:themeColor="accent1" w:themeShade="BF"/>
                      <w:sz w:val="28"/>
                      <w:szCs w:val="28"/>
                    </w:rPr>
                    <w:t>201</w:t>
                  </w:r>
                  <w:r w:rsidR="00161C59">
                    <w:rPr>
                      <w:rFonts w:ascii="黑体" w:eastAsia="黑体" w:hAnsi="黑体" w:hint="eastAsia"/>
                      <w:color w:val="2E74B5" w:themeColor="accent1" w:themeShade="BF"/>
                      <w:sz w:val="28"/>
                      <w:szCs w:val="28"/>
                    </w:rPr>
                    <w:t>7</w:t>
                  </w:r>
                  <w:r w:rsidRPr="000A7BE5">
                    <w:rPr>
                      <w:rFonts w:ascii="黑体" w:eastAsia="黑体" w:hAnsi="黑体"/>
                      <w:color w:val="2E74B5" w:themeColor="accent1" w:themeShade="BF"/>
                      <w:sz w:val="28"/>
                      <w:szCs w:val="28"/>
                    </w:rPr>
                    <w:t>年</w:t>
                  </w:r>
                  <w:r w:rsidR="00161C59">
                    <w:rPr>
                      <w:rFonts w:ascii="黑体" w:eastAsia="黑体" w:hAnsi="黑体" w:hint="eastAsia"/>
                      <w:color w:val="2E74B5" w:themeColor="accent1" w:themeShade="BF"/>
                      <w:sz w:val="28"/>
                      <w:szCs w:val="28"/>
                    </w:rPr>
                    <w:t>2</w:t>
                  </w:r>
                  <w:r w:rsidRPr="000A7BE5">
                    <w:rPr>
                      <w:rFonts w:ascii="黑体" w:eastAsia="黑体" w:hAnsi="黑体"/>
                      <w:color w:val="2E74B5" w:themeColor="accent1" w:themeShade="BF"/>
                      <w:sz w:val="28"/>
                      <w:szCs w:val="28"/>
                    </w:rPr>
                    <w:t xml:space="preserve">月月报| </w:t>
                  </w:r>
                  <w:r w:rsidR="000C2FD0">
                    <w:rPr>
                      <w:rFonts w:ascii="黑体" w:eastAsia="黑体" w:hAnsi="黑体" w:hint="eastAsia"/>
                      <w:color w:val="2E74B5" w:themeColor="accent1" w:themeShade="BF"/>
                      <w:sz w:val="28"/>
                      <w:szCs w:val="28"/>
                    </w:rPr>
                    <w:t>金融期货</w:t>
                  </w:r>
                  <w:r w:rsidR="00593347" w:rsidRPr="000A7BE5">
                    <w:rPr>
                      <w:rFonts w:ascii="黑体" w:eastAsia="黑体" w:hAnsi="黑体"/>
                      <w:color w:val="2E74B5" w:themeColor="accent1" w:themeShade="BF"/>
                      <w:szCs w:val="21"/>
                    </w:rPr>
                    <w:fldChar w:fldCharType="begin"/>
                  </w:r>
                  <w:r w:rsidRPr="000A7BE5">
                    <w:rPr>
                      <w:rFonts w:ascii="黑体" w:eastAsia="黑体" w:hAnsi="黑体" w:hint="eastAsia"/>
                      <w:color w:val="2E74B5" w:themeColor="accent1" w:themeShade="BF"/>
                      <w:szCs w:val="21"/>
                    </w:rPr>
                    <w:instrText>TIME \@ "yyyy年M月d日星期W"</w:instrText>
                  </w:r>
                  <w:r w:rsidR="00593347" w:rsidRPr="000A7BE5">
                    <w:rPr>
                      <w:rFonts w:ascii="黑体" w:eastAsia="黑体" w:hAnsi="黑体"/>
                      <w:color w:val="2E74B5" w:themeColor="accent1" w:themeShade="BF"/>
                      <w:szCs w:val="21"/>
                    </w:rPr>
                    <w:fldChar w:fldCharType="separate"/>
                  </w:r>
                  <w:r w:rsidR="003D4F25">
                    <w:rPr>
                      <w:rFonts w:ascii="黑体" w:eastAsia="黑体" w:hAnsi="黑体"/>
                      <w:noProof/>
                      <w:color w:val="2E74B5" w:themeColor="accent1" w:themeShade="BF"/>
                      <w:szCs w:val="21"/>
                    </w:rPr>
                    <w:t>2017年2月27日星期一</w:t>
                  </w:r>
                  <w:r w:rsidR="00593347" w:rsidRPr="000A7BE5">
                    <w:rPr>
                      <w:rFonts w:ascii="黑体" w:eastAsia="黑体" w:hAnsi="黑体"/>
                      <w:color w:val="2E74B5" w:themeColor="accent1" w:themeShade="BF"/>
                      <w:szCs w:val="21"/>
                    </w:rPr>
                    <w:fldChar w:fldCharType="end"/>
                  </w:r>
                </w:p>
              </w:txbxContent>
            </v:textbox>
            <w10:wrap anchory="page"/>
          </v:shape>
        </w:pict>
      </w:r>
      <w:r w:rsidR="00593347">
        <w:rPr>
          <w:rFonts w:ascii="黑体" w:eastAsia="黑体" w:hAnsi="黑体"/>
          <w:noProof/>
          <w:sz w:val="32"/>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E27CD7" w:rsidRDefault="00E27CD7" w:rsidP="008A6AF6">
                  <w:pPr>
                    <w:spacing w:before="312" w:after="312"/>
                    <w:ind w:leftChars="270" w:left="567"/>
                  </w:pPr>
                </w:p>
                <w:p w:rsidR="00E27CD7" w:rsidRDefault="00E27CD7" w:rsidP="008A6AF6">
                  <w:pPr>
                    <w:spacing w:before="312" w:after="312"/>
                    <w:ind w:leftChars="270" w:left="567"/>
                  </w:pPr>
                </w:p>
                <w:p w:rsidR="00E27CD7" w:rsidRPr="000A7BE5" w:rsidRDefault="00593347"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E27CD7" w:rsidRPr="000A7BE5">
                      <w:rPr>
                        <w:rStyle w:val="a8"/>
                        <w:rFonts w:ascii="Times New Roman" w:eastAsia="华文楷体" w:hAnsi="Times New Roman"/>
                        <w:b/>
                        <w:color w:val="2E74B5" w:themeColor="accent1" w:themeShade="BF"/>
                        <w:sz w:val="24"/>
                        <w:szCs w:val="24"/>
                      </w:rPr>
                      <w:t>www.cnhtqh.com.cn</w:t>
                    </w:r>
                  </w:hyperlink>
                </w:p>
                <w:p w:rsidR="00F6467B" w:rsidRPr="000A7BE5" w:rsidRDefault="00F6467B" w:rsidP="00F6467B">
                  <w:pPr>
                    <w:pStyle w:val="af0"/>
                    <w:ind w:left="567" w:right="-105"/>
                    <w:rPr>
                      <w:rFonts w:ascii="黑体" w:eastAsia="黑体" w:hAnsi="黑体"/>
                      <w:color w:val="2E74B5" w:themeColor="accent1" w:themeShade="BF"/>
                      <w:sz w:val="18"/>
                      <w:szCs w:val="18"/>
                    </w:rPr>
                  </w:pP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r w:rsidR="000C2FD0">
                    <w:rPr>
                      <w:rFonts w:ascii="黑体" w:eastAsia="黑体" w:hAnsi="黑体" w:hint="eastAsia"/>
                      <w:color w:val="2E74B5" w:themeColor="accent1" w:themeShade="BF"/>
                      <w:sz w:val="18"/>
                      <w:szCs w:val="18"/>
                    </w:rPr>
                    <w:t>常诚为</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w:t>
                  </w:r>
                  <w:r w:rsidR="000C2FD0" w:rsidRPr="000C2FD0">
                    <w:rPr>
                      <w:rFonts w:ascii="黑体" w:eastAsia="黑体" w:hAnsi="黑体"/>
                      <w:color w:val="2E74B5" w:themeColor="accent1" w:themeShade="BF"/>
                      <w:sz w:val="18"/>
                      <w:szCs w:val="18"/>
                    </w:rPr>
                    <w:t>F0290781</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w:t>
                  </w:r>
                  <w:r w:rsidR="000C2FD0" w:rsidRPr="000C2FD0">
                    <w:rPr>
                      <w:rFonts w:ascii="黑体" w:eastAsia="黑体" w:hAnsi="黑体"/>
                      <w:color w:val="2E74B5" w:themeColor="accent1" w:themeShade="BF"/>
                      <w:sz w:val="18"/>
                      <w:szCs w:val="18"/>
                    </w:rPr>
                    <w:t>021-60212736</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sidR="000C2FD0">
                    <w:rPr>
                      <w:rFonts w:ascii="黑体" w:eastAsia="黑体" w:hAnsi="黑体" w:hint="eastAsia"/>
                      <w:color w:val="2E74B5" w:themeColor="accent1" w:themeShade="BF"/>
                      <w:sz w:val="18"/>
                      <w:szCs w:val="18"/>
                    </w:rPr>
                    <w:t>changxuezhang</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sidR="000C2FD0" w:rsidRPr="000C2FD0">
                    <w:rPr>
                      <w:rFonts w:ascii="黑体" w:eastAsia="黑体" w:hAnsi="黑体"/>
                      <w:color w:val="2E74B5" w:themeColor="accent1" w:themeShade="BF"/>
                      <w:sz w:val="18"/>
                      <w:szCs w:val="18"/>
                    </w:rPr>
                    <w:t>changchengwei@cnhtqh.com.cn</w:t>
                  </w:r>
                </w:p>
                <w:p w:rsidR="00F6467B" w:rsidRDefault="00F6467B" w:rsidP="00F6467B">
                  <w:pPr>
                    <w:pStyle w:val="af0"/>
                    <w:ind w:left="567" w:right="-105"/>
                    <w:rPr>
                      <w:rFonts w:ascii="黑体" w:eastAsia="黑体" w:hAnsi="黑体"/>
                      <w:sz w:val="18"/>
                      <w:szCs w:val="18"/>
                    </w:rPr>
                  </w:pPr>
                </w:p>
                <w:p w:rsidR="00F6467B" w:rsidRPr="00F6467B" w:rsidRDefault="00F6467B" w:rsidP="00F6467B">
                  <w:pPr>
                    <w:pStyle w:val="af0"/>
                    <w:ind w:left="567" w:right="-105"/>
                    <w:rPr>
                      <w:rFonts w:ascii="黑体" w:eastAsia="黑体" w:hAnsi="黑体"/>
                      <w:sz w:val="18"/>
                      <w:szCs w:val="18"/>
                    </w:rPr>
                  </w:pPr>
                </w:p>
                <w:p w:rsidR="00E27CD7" w:rsidRDefault="00E27CD7"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69597E" w:rsidRDefault="0069597E" w:rsidP="0069597E">
                  <w:pPr>
                    <w:spacing w:beforeLines="0" w:afterLines="0" w:line="240" w:lineRule="auto"/>
                  </w:pPr>
                </w:p>
                <w:p w:rsidR="0069597E" w:rsidRDefault="0069597E" w:rsidP="0069597E">
                  <w:pPr>
                    <w:spacing w:beforeLines="0" w:afterLines="0" w:line="240" w:lineRule="auto"/>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E27CD7" w:rsidRPr="000A7BE5" w:rsidRDefault="00E27CD7"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E27CD7" w:rsidRPr="00C85F13" w:rsidRDefault="0069597E"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3107" cy="933580"/>
                                </a:xfrm>
                                <a:prstGeom prst="rect">
                                  <a:avLst/>
                                </a:prstGeom>
                              </pic:spPr>
                            </pic:pic>
                          </a:graphicData>
                        </a:graphic>
                      </wp:inline>
                    </w:drawing>
                  </w:r>
                </w:p>
                <w:p w:rsidR="00E27CD7" w:rsidRPr="00C85F13" w:rsidRDefault="00E27CD7" w:rsidP="0069597E">
                  <w:pPr>
                    <w:spacing w:beforeLines="0" w:afterLines="0" w:line="240" w:lineRule="auto"/>
                    <w:ind w:leftChars="270" w:left="567"/>
                    <w:rPr>
                      <w:color w:val="000000" w:themeColor="text1"/>
                    </w:rPr>
                  </w:pPr>
                </w:p>
                <w:p w:rsidR="00C85F13" w:rsidRPr="00C85F13" w:rsidRDefault="00C85F13" w:rsidP="0069597E">
                  <w:pPr>
                    <w:spacing w:beforeLines="0" w:afterLines="0" w:line="240" w:lineRule="auto"/>
                    <w:ind w:leftChars="270" w:left="567"/>
                    <w:rPr>
                      <w:color w:val="000000" w:themeColor="text1"/>
                    </w:rPr>
                  </w:pPr>
                </w:p>
                <w:p w:rsidR="00C85F13" w:rsidRPr="000A7BE5" w:rsidRDefault="00C85F13"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请务必阅读文后重要声明</w:t>
                  </w:r>
                </w:p>
              </w:txbxContent>
            </v:textbox>
            <w10:wrap anchory="page"/>
          </v:shape>
        </w:pict>
      </w:r>
      <w:r w:rsidR="00A42A82" w:rsidRPr="00A42A82">
        <w:rPr>
          <w:rFonts w:ascii="黑体" w:eastAsia="黑体" w:hAnsi="黑体" w:hint="eastAsia"/>
          <w:noProof/>
          <w:sz w:val="32"/>
          <w:szCs w:val="36"/>
        </w:rPr>
        <w:t>股指期货：</w:t>
      </w:r>
      <w:r w:rsidR="0068336E">
        <w:rPr>
          <w:rFonts w:ascii="黑体" w:eastAsia="黑体" w:hAnsi="黑体" w:hint="eastAsia"/>
          <w:noProof/>
          <w:sz w:val="32"/>
          <w:szCs w:val="36"/>
        </w:rPr>
        <w:t>需求旺季来临，期指延续升势</w:t>
      </w:r>
    </w:p>
    <w:p w:rsidR="00790017" w:rsidRPr="009A53B9" w:rsidRDefault="00333A9E" w:rsidP="00852B69">
      <w:pPr>
        <w:pStyle w:val="af1"/>
      </w:pPr>
      <w:r>
        <w:t>摘要</w:t>
      </w:r>
    </w:p>
    <w:p w:rsidR="00673DD5" w:rsidRDefault="00673DD5" w:rsidP="00673DD5">
      <w:pPr>
        <w:pStyle w:val="af"/>
        <w:numPr>
          <w:ilvl w:val="0"/>
          <w:numId w:val="1"/>
        </w:numPr>
        <w:spacing w:before="312" w:after="312"/>
        <w:ind w:firstLineChars="0"/>
      </w:pPr>
      <w:r w:rsidRPr="00673DD5">
        <w:rPr>
          <w:rFonts w:hint="eastAsia"/>
        </w:rPr>
        <w:t>房地产下滑速度、基建投资托底力度和供给侧改革是决定未来实体经济的三个关键因素</w:t>
      </w:r>
    </w:p>
    <w:p w:rsidR="00C85F13" w:rsidRDefault="00673DD5" w:rsidP="00673DD5">
      <w:pPr>
        <w:pStyle w:val="af"/>
        <w:numPr>
          <w:ilvl w:val="0"/>
          <w:numId w:val="1"/>
        </w:numPr>
        <w:spacing w:before="312" w:after="312"/>
        <w:ind w:firstLineChars="0"/>
      </w:pPr>
      <w:r w:rsidRPr="00673DD5">
        <w:rPr>
          <w:rFonts w:hint="eastAsia"/>
        </w:rPr>
        <w:t>工业生产旺季来临，市场处于混沌期，需求短期内难以被证实或证伪</w:t>
      </w:r>
    </w:p>
    <w:p w:rsidR="00673DD5" w:rsidRDefault="00673DD5" w:rsidP="00673DD5">
      <w:pPr>
        <w:pStyle w:val="af"/>
        <w:numPr>
          <w:ilvl w:val="0"/>
          <w:numId w:val="1"/>
        </w:numPr>
        <w:spacing w:before="312" w:after="312"/>
        <w:ind w:firstLineChars="0"/>
      </w:pPr>
      <w:r w:rsidRPr="00673DD5">
        <w:rPr>
          <w:rFonts w:hint="eastAsia"/>
        </w:rPr>
        <w:t>中小创反弹进入下半场</w:t>
      </w:r>
    </w:p>
    <w:p w:rsidR="00123269" w:rsidRDefault="00673DD5" w:rsidP="00673DD5">
      <w:pPr>
        <w:pStyle w:val="af"/>
        <w:numPr>
          <w:ilvl w:val="0"/>
          <w:numId w:val="1"/>
        </w:numPr>
        <w:spacing w:before="312" w:after="312"/>
        <w:ind w:firstLineChars="0"/>
      </w:pPr>
      <w:r w:rsidRPr="00673DD5">
        <w:rPr>
          <w:rFonts w:hint="eastAsia"/>
        </w:rPr>
        <w:t>主板市场上升趋势良好，中小创反弹见顶后市场将重回大强小弱的二八格局</w:t>
      </w:r>
    </w:p>
    <w:p w:rsidR="00333A9E" w:rsidRPr="00A83340" w:rsidRDefault="00A83340" w:rsidP="00852B69">
      <w:pPr>
        <w:pStyle w:val="af2"/>
      </w:pPr>
      <w:r w:rsidRPr="00A83340">
        <w:t>操作</w:t>
      </w:r>
      <w:r w:rsidR="00B02FA3" w:rsidRPr="00A83340">
        <w:t>策略</w:t>
      </w:r>
    </w:p>
    <w:p w:rsidR="00665679" w:rsidRDefault="00673DD5" w:rsidP="00673DD5">
      <w:pPr>
        <w:pStyle w:val="af"/>
        <w:numPr>
          <w:ilvl w:val="0"/>
          <w:numId w:val="2"/>
        </w:numPr>
        <w:spacing w:before="312" w:after="312"/>
        <w:ind w:firstLineChars="0"/>
      </w:pPr>
      <w:r w:rsidRPr="00673DD5">
        <w:rPr>
          <w:rFonts w:hint="eastAsia"/>
          <w:lang w:bidi="en-US"/>
        </w:rPr>
        <w:t>中证</w:t>
      </w:r>
      <w:r w:rsidRPr="00673DD5">
        <w:rPr>
          <w:rFonts w:hint="eastAsia"/>
          <w:lang w:bidi="en-US"/>
        </w:rPr>
        <w:t>500</w:t>
      </w:r>
      <w:r w:rsidRPr="00673DD5">
        <w:rPr>
          <w:rFonts w:hint="eastAsia"/>
          <w:lang w:bidi="en-US"/>
        </w:rPr>
        <w:t>多单可逐步止盈离场并转向做多上证</w:t>
      </w:r>
      <w:r w:rsidRPr="00673DD5">
        <w:rPr>
          <w:rFonts w:hint="eastAsia"/>
          <w:lang w:bidi="en-US"/>
        </w:rPr>
        <w:t>50</w:t>
      </w:r>
      <w:r w:rsidRPr="00673DD5">
        <w:rPr>
          <w:rFonts w:hint="eastAsia"/>
          <w:lang w:bidi="en-US"/>
        </w:rPr>
        <w:t>或者沪深</w:t>
      </w:r>
      <w:r w:rsidRPr="00673DD5">
        <w:rPr>
          <w:rFonts w:hint="eastAsia"/>
          <w:lang w:bidi="en-US"/>
        </w:rPr>
        <w:t>300</w:t>
      </w:r>
      <w:r w:rsidRPr="00673DD5">
        <w:rPr>
          <w:rFonts w:hint="eastAsia"/>
          <w:lang w:bidi="en-US"/>
        </w:rPr>
        <w:t>期指</w:t>
      </w:r>
    </w:p>
    <w:p w:rsidR="00123269" w:rsidRDefault="00123269" w:rsidP="00123269">
      <w:pPr>
        <w:pStyle w:val="af"/>
        <w:spacing w:before="312" w:after="312"/>
        <w:ind w:left="1411" w:firstLineChars="0" w:firstLine="0"/>
      </w:pP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3D4F25">
        <w:rPr>
          <w:rFonts w:hint="eastAsia"/>
        </w:rPr>
        <w:t>2</w:t>
      </w:r>
      <w:r w:rsidR="00A42A82">
        <w:rPr>
          <w:rFonts w:hint="eastAsia"/>
        </w:rPr>
        <w:t>月</w:t>
      </w:r>
      <w:r w:rsidRPr="005D54A0">
        <w:t>行情回顾</w:t>
      </w:r>
      <w:r w:rsidR="00E2743D">
        <w:rPr>
          <w:rFonts w:hint="eastAsia"/>
        </w:rPr>
        <w:t>:</w:t>
      </w:r>
      <w:r w:rsidR="005C1D63">
        <w:rPr>
          <w:rFonts w:hint="eastAsia"/>
        </w:rPr>
        <w:t>期指单边上扬，涨势如虹</w:t>
      </w:r>
    </w:p>
    <w:p w:rsidR="001836D1" w:rsidRDefault="001836D1" w:rsidP="001836D1">
      <w:pPr>
        <w:spacing w:before="312" w:after="312"/>
      </w:pPr>
      <w:r>
        <w:rPr>
          <w:rFonts w:hint="eastAsia"/>
        </w:rPr>
        <w:t>上证综指从</w:t>
      </w:r>
      <w:r w:rsidR="00C95925">
        <w:rPr>
          <w:rFonts w:hint="eastAsia"/>
        </w:rPr>
        <w:t>2</w:t>
      </w:r>
      <w:r>
        <w:rPr>
          <w:rFonts w:hint="eastAsia"/>
        </w:rPr>
        <w:t>月</w:t>
      </w:r>
      <w:r w:rsidR="00C95925">
        <w:rPr>
          <w:rFonts w:hint="eastAsia"/>
        </w:rPr>
        <w:t>3</w:t>
      </w:r>
      <w:r>
        <w:rPr>
          <w:rFonts w:hint="eastAsia"/>
        </w:rPr>
        <w:t>日</w:t>
      </w:r>
      <w:r w:rsidR="00C95925" w:rsidRPr="00C95925">
        <w:t>3160.08</w:t>
      </w:r>
      <w:r>
        <w:rPr>
          <w:rFonts w:hint="eastAsia"/>
        </w:rPr>
        <w:t>点开盘，至</w:t>
      </w:r>
      <w:r w:rsidR="00C95925">
        <w:rPr>
          <w:rFonts w:hint="eastAsia"/>
        </w:rPr>
        <w:t>2</w:t>
      </w:r>
      <w:r>
        <w:rPr>
          <w:rFonts w:hint="eastAsia"/>
        </w:rPr>
        <w:t>月</w:t>
      </w:r>
      <w:r w:rsidR="00C95925">
        <w:rPr>
          <w:rFonts w:hint="eastAsia"/>
        </w:rPr>
        <w:t>22</w:t>
      </w:r>
      <w:r>
        <w:rPr>
          <w:rFonts w:hint="eastAsia"/>
        </w:rPr>
        <w:t>日收盘</w:t>
      </w:r>
      <w:r w:rsidR="00C95925" w:rsidRPr="00C95925">
        <w:t>3254.69</w:t>
      </w:r>
      <w:r>
        <w:rPr>
          <w:rFonts w:hint="eastAsia"/>
        </w:rPr>
        <w:t>点，共累计</w:t>
      </w:r>
      <w:r w:rsidR="00252A9B">
        <w:rPr>
          <w:rFonts w:hint="eastAsia"/>
        </w:rPr>
        <w:t>上涨</w:t>
      </w:r>
      <w:r w:rsidR="00C95925">
        <w:rPr>
          <w:rFonts w:hint="eastAsia"/>
        </w:rPr>
        <w:t>3.02</w:t>
      </w:r>
      <w:r>
        <w:rPr>
          <w:rFonts w:hint="eastAsia"/>
        </w:rPr>
        <w:t>%</w:t>
      </w:r>
      <w:r>
        <w:rPr>
          <w:rFonts w:hint="eastAsia"/>
        </w:rPr>
        <w:t>。上证</w:t>
      </w:r>
      <w:r>
        <w:rPr>
          <w:rFonts w:hint="eastAsia"/>
        </w:rPr>
        <w:t>50</w:t>
      </w:r>
      <w:r>
        <w:rPr>
          <w:rFonts w:hint="eastAsia"/>
        </w:rPr>
        <w:t>期指主力合约从</w:t>
      </w:r>
      <w:r w:rsidR="00C95925">
        <w:rPr>
          <w:rFonts w:hint="eastAsia"/>
        </w:rPr>
        <w:t>2</w:t>
      </w:r>
      <w:r w:rsidR="00C95925">
        <w:rPr>
          <w:rFonts w:hint="eastAsia"/>
        </w:rPr>
        <w:t>月</w:t>
      </w:r>
      <w:r w:rsidR="00C95925">
        <w:rPr>
          <w:rFonts w:hint="eastAsia"/>
        </w:rPr>
        <w:t>3</w:t>
      </w:r>
      <w:r w:rsidR="00C95925">
        <w:rPr>
          <w:rFonts w:hint="eastAsia"/>
        </w:rPr>
        <w:t>日</w:t>
      </w:r>
      <w:r w:rsidR="00252A9B" w:rsidRPr="00252A9B">
        <w:t>2370.8</w:t>
      </w:r>
      <w:r w:rsidR="00C95925">
        <w:rPr>
          <w:rFonts w:hint="eastAsia"/>
        </w:rPr>
        <w:t>点开盘，至</w:t>
      </w:r>
      <w:r w:rsidR="00C95925">
        <w:rPr>
          <w:rFonts w:hint="eastAsia"/>
        </w:rPr>
        <w:t>2</w:t>
      </w:r>
      <w:r w:rsidR="00C95925">
        <w:rPr>
          <w:rFonts w:hint="eastAsia"/>
        </w:rPr>
        <w:t>月</w:t>
      </w:r>
      <w:r w:rsidR="00C95925">
        <w:rPr>
          <w:rFonts w:hint="eastAsia"/>
        </w:rPr>
        <w:t>22</w:t>
      </w:r>
      <w:r w:rsidR="00C95925">
        <w:rPr>
          <w:rFonts w:hint="eastAsia"/>
        </w:rPr>
        <w:t>日</w:t>
      </w:r>
      <w:r>
        <w:rPr>
          <w:rFonts w:hint="eastAsia"/>
        </w:rPr>
        <w:t>收盘于</w:t>
      </w:r>
      <w:r w:rsidR="00252A9B" w:rsidRPr="00252A9B">
        <w:t>2387.6</w:t>
      </w:r>
      <w:r>
        <w:rPr>
          <w:rFonts w:hint="eastAsia"/>
        </w:rPr>
        <w:t>点，共累计上涨</w:t>
      </w:r>
      <w:r w:rsidR="00252A9B">
        <w:rPr>
          <w:rFonts w:hint="eastAsia"/>
        </w:rPr>
        <w:t>0.96</w:t>
      </w:r>
      <w:r>
        <w:rPr>
          <w:rFonts w:hint="eastAsia"/>
        </w:rPr>
        <w:t>%</w:t>
      </w:r>
      <w:r>
        <w:rPr>
          <w:rFonts w:hint="eastAsia"/>
        </w:rPr>
        <w:t>。沪深</w:t>
      </w:r>
      <w:r>
        <w:rPr>
          <w:rFonts w:hint="eastAsia"/>
        </w:rPr>
        <w:t>300</w:t>
      </w:r>
      <w:r>
        <w:rPr>
          <w:rFonts w:hint="eastAsia"/>
        </w:rPr>
        <w:t>期指主力合约从</w:t>
      </w:r>
      <w:r w:rsidR="00C95925">
        <w:rPr>
          <w:rFonts w:hint="eastAsia"/>
        </w:rPr>
        <w:t>2</w:t>
      </w:r>
      <w:r w:rsidR="00C95925">
        <w:rPr>
          <w:rFonts w:hint="eastAsia"/>
        </w:rPr>
        <w:t>月</w:t>
      </w:r>
      <w:r w:rsidR="00C95925">
        <w:rPr>
          <w:rFonts w:hint="eastAsia"/>
        </w:rPr>
        <w:t>3</w:t>
      </w:r>
      <w:r w:rsidR="00C95925">
        <w:rPr>
          <w:rFonts w:hint="eastAsia"/>
        </w:rPr>
        <w:t>日</w:t>
      </w:r>
      <w:r w:rsidR="00252A9B">
        <w:t>3387</w:t>
      </w:r>
      <w:r w:rsidR="00C95925">
        <w:rPr>
          <w:rFonts w:hint="eastAsia"/>
        </w:rPr>
        <w:t>点开盘，至</w:t>
      </w:r>
      <w:r w:rsidR="00C95925">
        <w:rPr>
          <w:rFonts w:hint="eastAsia"/>
        </w:rPr>
        <w:t>2</w:t>
      </w:r>
      <w:r w:rsidR="00C95925">
        <w:rPr>
          <w:rFonts w:hint="eastAsia"/>
        </w:rPr>
        <w:t>月</w:t>
      </w:r>
      <w:r w:rsidR="00C95925">
        <w:rPr>
          <w:rFonts w:hint="eastAsia"/>
        </w:rPr>
        <w:t>22</w:t>
      </w:r>
      <w:r w:rsidR="00C95925">
        <w:rPr>
          <w:rFonts w:hint="eastAsia"/>
        </w:rPr>
        <w:t>日</w:t>
      </w:r>
      <w:r>
        <w:rPr>
          <w:rFonts w:hint="eastAsia"/>
        </w:rPr>
        <w:t>收盘于</w:t>
      </w:r>
      <w:r w:rsidR="00252A9B" w:rsidRPr="00252A9B">
        <w:t>3460.4</w:t>
      </w:r>
      <w:r>
        <w:rPr>
          <w:rFonts w:hint="eastAsia"/>
        </w:rPr>
        <w:t>点，共累计上涨</w:t>
      </w:r>
      <w:r w:rsidR="00252A9B" w:rsidRPr="00252A9B">
        <w:t>2.45</w:t>
      </w:r>
      <w:r>
        <w:rPr>
          <w:rFonts w:hint="eastAsia"/>
        </w:rPr>
        <w:t>%</w:t>
      </w:r>
      <w:r>
        <w:rPr>
          <w:rFonts w:hint="eastAsia"/>
        </w:rPr>
        <w:t>。中证</w:t>
      </w:r>
      <w:r>
        <w:rPr>
          <w:rFonts w:hint="eastAsia"/>
        </w:rPr>
        <w:t>500</w:t>
      </w:r>
      <w:r>
        <w:rPr>
          <w:rFonts w:hint="eastAsia"/>
        </w:rPr>
        <w:t>期指主力合约从</w:t>
      </w:r>
      <w:r w:rsidR="00C95925">
        <w:rPr>
          <w:rFonts w:hint="eastAsia"/>
        </w:rPr>
        <w:t>2</w:t>
      </w:r>
      <w:r w:rsidR="00C95925">
        <w:rPr>
          <w:rFonts w:hint="eastAsia"/>
        </w:rPr>
        <w:t>月</w:t>
      </w:r>
      <w:r w:rsidR="00C95925">
        <w:rPr>
          <w:rFonts w:hint="eastAsia"/>
        </w:rPr>
        <w:t>3</w:t>
      </w:r>
      <w:r w:rsidR="00C95925">
        <w:rPr>
          <w:rFonts w:hint="eastAsia"/>
        </w:rPr>
        <w:t>日</w:t>
      </w:r>
      <w:r w:rsidR="00252A9B">
        <w:t>6190</w:t>
      </w:r>
      <w:r w:rsidR="00C95925">
        <w:rPr>
          <w:rFonts w:hint="eastAsia"/>
        </w:rPr>
        <w:t>点开盘，至</w:t>
      </w:r>
      <w:r w:rsidR="00C95925">
        <w:rPr>
          <w:rFonts w:hint="eastAsia"/>
        </w:rPr>
        <w:t>2</w:t>
      </w:r>
      <w:r w:rsidR="00C95925">
        <w:rPr>
          <w:rFonts w:hint="eastAsia"/>
        </w:rPr>
        <w:t>月</w:t>
      </w:r>
      <w:r w:rsidR="00C95925">
        <w:rPr>
          <w:rFonts w:hint="eastAsia"/>
        </w:rPr>
        <w:t>22</w:t>
      </w:r>
      <w:r w:rsidR="00C95925">
        <w:rPr>
          <w:rFonts w:hint="eastAsia"/>
        </w:rPr>
        <w:t>日</w:t>
      </w:r>
      <w:r>
        <w:rPr>
          <w:rFonts w:hint="eastAsia"/>
        </w:rPr>
        <w:t>收盘于</w:t>
      </w:r>
      <w:r w:rsidR="00252A9B" w:rsidRPr="00252A9B">
        <w:t>6372.6</w:t>
      </w:r>
      <w:r>
        <w:rPr>
          <w:rFonts w:hint="eastAsia"/>
        </w:rPr>
        <w:t>点，共累计</w:t>
      </w:r>
      <w:r w:rsidR="00252A9B">
        <w:rPr>
          <w:rFonts w:hint="eastAsia"/>
        </w:rPr>
        <w:t>上涨</w:t>
      </w:r>
      <w:r w:rsidR="003E5846" w:rsidRPr="003E5846">
        <w:t>2.</w:t>
      </w:r>
      <w:r w:rsidR="00252A9B">
        <w:rPr>
          <w:rFonts w:hint="eastAsia"/>
        </w:rPr>
        <w:t>97</w:t>
      </w:r>
      <w:r>
        <w:rPr>
          <w:rFonts w:hint="eastAsia"/>
        </w:rPr>
        <w:t>%</w:t>
      </w:r>
      <w:r>
        <w:rPr>
          <w:rFonts w:hint="eastAsia"/>
        </w:rPr>
        <w:t>。</w:t>
      </w:r>
      <w:r w:rsidR="00252A9B">
        <w:rPr>
          <w:rFonts w:hint="eastAsia"/>
        </w:rPr>
        <w:t>2</w:t>
      </w:r>
      <w:r w:rsidR="00252A9B">
        <w:rPr>
          <w:rFonts w:hint="eastAsia"/>
        </w:rPr>
        <w:t>月期指呈现出强势拉升，单边上扬的趋势。</w:t>
      </w:r>
      <w:r w:rsidR="00252A9B">
        <w:rPr>
          <w:rFonts w:hint="eastAsia"/>
        </w:rPr>
        <w:t>2</w:t>
      </w:r>
      <w:r w:rsidR="00252A9B">
        <w:rPr>
          <w:rFonts w:hint="eastAsia"/>
        </w:rPr>
        <w:t>月第一个交易日也是鸡年的第一个交易日，期指大幅低开，但随后便展开强劲升势。沪指收复</w:t>
      </w:r>
      <w:r w:rsidR="00252A9B">
        <w:rPr>
          <w:rFonts w:hint="eastAsia"/>
        </w:rPr>
        <w:t>1</w:t>
      </w:r>
      <w:r w:rsidR="00252A9B">
        <w:rPr>
          <w:rFonts w:hint="eastAsia"/>
        </w:rPr>
        <w:t>月高点后在</w:t>
      </w:r>
      <w:r w:rsidR="00252A9B">
        <w:rPr>
          <w:rFonts w:hint="eastAsia"/>
        </w:rPr>
        <w:t>2</w:t>
      </w:r>
      <w:r w:rsidR="00252A9B">
        <w:rPr>
          <w:rFonts w:hint="eastAsia"/>
        </w:rPr>
        <w:t>月中旬出现强势洗盘，稍作调整后便继续创出近期新高，节前</w:t>
      </w:r>
      <w:r w:rsidR="00252A9B">
        <w:rPr>
          <w:rFonts w:hint="eastAsia"/>
        </w:rPr>
        <w:t>3300</w:t>
      </w:r>
      <w:r w:rsidR="00252A9B">
        <w:rPr>
          <w:rFonts w:hint="eastAsia"/>
        </w:rPr>
        <w:t>点整数关口。</w:t>
      </w:r>
    </w:p>
    <w:p w:rsidR="00700C04" w:rsidRDefault="00700C04" w:rsidP="00700C04">
      <w:pPr>
        <w:pStyle w:val="ae"/>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w:t>
      </w:r>
      <w:r w:rsidR="00593347">
        <w:fldChar w:fldCharType="end"/>
      </w:r>
      <w:r w:rsidR="00B669F3">
        <w:rPr>
          <w:rFonts w:hint="eastAsia"/>
        </w:rPr>
        <w:t>：</w:t>
      </w:r>
      <w:r w:rsidRPr="00326EB1">
        <w:rPr>
          <w:rFonts w:hint="eastAsia"/>
        </w:rPr>
        <w:t>上证</w:t>
      </w:r>
      <w:r w:rsidRPr="00326EB1">
        <w:rPr>
          <w:rFonts w:hint="eastAsia"/>
        </w:rPr>
        <w:t>50</w:t>
      </w:r>
      <w:r w:rsidRPr="00326EB1">
        <w:rPr>
          <w:rFonts w:hint="eastAsia"/>
        </w:rPr>
        <w:t>期货及现货走势图</w:t>
      </w:r>
      <w:r w:rsidR="00B669F3">
        <w:rPr>
          <w:rFonts w:hint="eastAsia"/>
        </w:rPr>
        <w:t>、</w:t>
      </w:r>
      <w:r w:rsidR="00B669F3" w:rsidRPr="003E0786">
        <w:rPr>
          <w:rFonts w:hint="eastAsia"/>
        </w:rPr>
        <w:t>沪深</w:t>
      </w:r>
      <w:r w:rsidR="00B669F3" w:rsidRPr="003E0786">
        <w:rPr>
          <w:rFonts w:hint="eastAsia"/>
        </w:rPr>
        <w:t>300</w:t>
      </w:r>
      <w:r w:rsidR="00B669F3" w:rsidRPr="003E0786">
        <w:rPr>
          <w:rFonts w:hint="eastAsia"/>
        </w:rPr>
        <w:t>期货及现货走势图</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700C04" w:rsidTr="00FF1AF9">
        <w:trPr>
          <w:cantSplit/>
          <w:trHeight w:val="3629"/>
        </w:trPr>
        <w:tc>
          <w:tcPr>
            <w:tcW w:w="9498" w:type="dxa"/>
          </w:tcPr>
          <w:p w:rsidR="00700C04" w:rsidRDefault="008B162C" w:rsidP="00FF1AF9">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02272" behindDoc="0" locked="0" layoutInCell="1" allowOverlap="1">
                  <wp:simplePos x="0" y="0"/>
                  <wp:positionH relativeFrom="column">
                    <wp:posOffset>2974117</wp:posOffset>
                  </wp:positionH>
                  <wp:positionV relativeFrom="paragraph">
                    <wp:posOffset>65233</wp:posOffset>
                  </wp:positionV>
                  <wp:extent cx="2823004" cy="2108887"/>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23004" cy="2108887"/>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701248" behindDoc="0" locked="0" layoutInCell="1" allowOverlap="1">
                  <wp:simplePos x="0" y="0"/>
                  <wp:positionH relativeFrom="column">
                    <wp:posOffset>-49170</wp:posOffset>
                  </wp:positionH>
                  <wp:positionV relativeFrom="paragraph">
                    <wp:posOffset>15806</wp:posOffset>
                  </wp:positionV>
                  <wp:extent cx="2890077" cy="2215979"/>
                  <wp:effectExtent l="19050" t="0" r="5523"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88070" cy="2214440"/>
                          </a:xfrm>
                          <a:prstGeom prst="rect">
                            <a:avLst/>
                          </a:prstGeom>
                          <a:noFill/>
                          <a:ln w="9525">
                            <a:noFill/>
                            <a:miter lim="800000"/>
                            <a:headEnd/>
                            <a:tailEnd/>
                          </a:ln>
                        </pic:spPr>
                      </pic:pic>
                    </a:graphicData>
                  </a:graphic>
                </wp:anchor>
              </w:drawing>
            </w:r>
          </w:p>
        </w:tc>
      </w:tr>
      <w:tr w:rsidR="00700C04" w:rsidTr="00FF1AF9">
        <w:tblPrEx>
          <w:tblCellMar>
            <w:left w:w="0" w:type="dxa"/>
            <w:right w:w="0" w:type="dxa"/>
          </w:tblCellMar>
        </w:tblPrEx>
        <w:trPr>
          <w:cantSplit/>
        </w:trPr>
        <w:tc>
          <w:tcPr>
            <w:tcW w:w="9498" w:type="dxa"/>
          </w:tcPr>
          <w:p w:rsidR="00700C04" w:rsidRPr="00F6467B" w:rsidRDefault="00700C04" w:rsidP="00FF1AF9">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21376" w:rsidRDefault="00721376" w:rsidP="00721376">
      <w:pPr>
        <w:pStyle w:val="ae"/>
        <w:ind w:leftChars="-1012" w:left="-2125"/>
      </w:pPr>
    </w:p>
    <w:p w:rsidR="00721376" w:rsidRDefault="00721376" w:rsidP="00721376">
      <w:pPr>
        <w:pStyle w:val="ae"/>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2</w:t>
      </w:r>
      <w:r w:rsidR="00593347">
        <w:fldChar w:fldCharType="end"/>
      </w:r>
      <w:r>
        <w:rPr>
          <w:rFonts w:hint="eastAsia"/>
        </w:rPr>
        <w:t>：</w:t>
      </w:r>
      <w:r w:rsidRPr="003E0786">
        <w:rPr>
          <w:rFonts w:hint="eastAsia"/>
        </w:rPr>
        <w:t>、中证</w:t>
      </w:r>
      <w:r w:rsidRPr="003E0786">
        <w:rPr>
          <w:rFonts w:hint="eastAsia"/>
        </w:rPr>
        <w:t>500</w:t>
      </w:r>
      <w:r w:rsidRPr="003E0786">
        <w:rPr>
          <w:rFonts w:hint="eastAsia"/>
        </w:rPr>
        <w:t>期货及现货走势图</w:t>
      </w:r>
      <w:r w:rsidR="00B669F3">
        <w:rPr>
          <w:rFonts w:hint="eastAsia"/>
        </w:rPr>
        <w:t>、</w:t>
      </w:r>
      <w:r w:rsidR="00B669F3" w:rsidRPr="00F106A1">
        <w:rPr>
          <w:rFonts w:hint="eastAsia"/>
        </w:rPr>
        <w:t>上证</w:t>
      </w:r>
      <w:r w:rsidR="00B669F3" w:rsidRPr="00F106A1">
        <w:rPr>
          <w:rFonts w:hint="eastAsia"/>
        </w:rPr>
        <w:t>50</w:t>
      </w:r>
      <w:r w:rsidR="00B669F3" w:rsidRPr="00F106A1">
        <w:rPr>
          <w:rFonts w:hint="eastAsia"/>
        </w:rPr>
        <w:t>期货跨期价差</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721376" w:rsidTr="00FF1AF9">
        <w:trPr>
          <w:cantSplit/>
          <w:trHeight w:val="3629"/>
        </w:trPr>
        <w:tc>
          <w:tcPr>
            <w:tcW w:w="9498" w:type="dxa"/>
          </w:tcPr>
          <w:p w:rsidR="00721376" w:rsidRDefault="008B162C" w:rsidP="00FF1AF9">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04320" behindDoc="0" locked="0" layoutInCell="1" allowOverlap="1">
                  <wp:simplePos x="0" y="0"/>
                  <wp:positionH relativeFrom="column">
                    <wp:posOffset>3064733</wp:posOffset>
                  </wp:positionH>
                  <wp:positionV relativeFrom="paragraph">
                    <wp:posOffset>93979</wp:posOffset>
                  </wp:positionV>
                  <wp:extent cx="2810321" cy="2207741"/>
                  <wp:effectExtent l="19050" t="0" r="9079" b="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814766" cy="2211233"/>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703296" behindDoc="0" locked="0" layoutInCell="1" allowOverlap="1">
                  <wp:simplePos x="0" y="0"/>
                  <wp:positionH relativeFrom="column">
                    <wp:posOffset>-49170</wp:posOffset>
                  </wp:positionH>
                  <wp:positionV relativeFrom="paragraph">
                    <wp:posOffset>93979</wp:posOffset>
                  </wp:positionV>
                  <wp:extent cx="3023287" cy="2207741"/>
                  <wp:effectExtent l="19050" t="0" r="5663" b="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023287" cy="2207741"/>
                          </a:xfrm>
                          <a:prstGeom prst="rect">
                            <a:avLst/>
                          </a:prstGeom>
                          <a:noFill/>
                          <a:ln w="9525">
                            <a:noFill/>
                            <a:miter lim="800000"/>
                            <a:headEnd/>
                            <a:tailEnd/>
                          </a:ln>
                        </pic:spPr>
                      </pic:pic>
                    </a:graphicData>
                  </a:graphic>
                </wp:anchor>
              </w:drawing>
            </w:r>
          </w:p>
        </w:tc>
      </w:tr>
      <w:tr w:rsidR="00721376" w:rsidTr="00FF1AF9">
        <w:tblPrEx>
          <w:tblCellMar>
            <w:left w:w="0" w:type="dxa"/>
            <w:right w:w="0" w:type="dxa"/>
          </w:tblCellMar>
        </w:tblPrEx>
        <w:trPr>
          <w:cantSplit/>
        </w:trPr>
        <w:tc>
          <w:tcPr>
            <w:tcW w:w="9498" w:type="dxa"/>
          </w:tcPr>
          <w:p w:rsidR="00721376" w:rsidRPr="00F6467B" w:rsidRDefault="00721376" w:rsidP="00FF1AF9">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21376" w:rsidRDefault="00721376" w:rsidP="00721376">
      <w:pPr>
        <w:pStyle w:val="ae"/>
        <w:ind w:leftChars="-1012" w:left="-2125"/>
      </w:pPr>
    </w:p>
    <w:p w:rsidR="00721376" w:rsidRDefault="00721376" w:rsidP="00721376">
      <w:pPr>
        <w:pStyle w:val="ae"/>
        <w:ind w:leftChars="-1012" w:left="-2125"/>
      </w:pPr>
      <w:r>
        <w:rPr>
          <w:rFonts w:hint="eastAsia"/>
        </w:rPr>
        <w:lastRenderedPageBreak/>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3</w:t>
      </w:r>
      <w:r w:rsidR="00593347">
        <w:fldChar w:fldCharType="end"/>
      </w:r>
      <w:r>
        <w:rPr>
          <w:rFonts w:hint="eastAsia"/>
        </w:rPr>
        <w:t>：</w:t>
      </w:r>
      <w:r w:rsidRPr="00F106A1">
        <w:rPr>
          <w:rFonts w:hint="eastAsia"/>
        </w:rPr>
        <w:t>沪深</w:t>
      </w:r>
      <w:r w:rsidRPr="00F106A1">
        <w:rPr>
          <w:rFonts w:hint="eastAsia"/>
        </w:rPr>
        <w:t>300</w:t>
      </w:r>
      <w:r w:rsidRPr="00F106A1">
        <w:rPr>
          <w:rFonts w:hint="eastAsia"/>
        </w:rPr>
        <w:t>期货跨期价差</w:t>
      </w:r>
      <w:r w:rsidR="00B669F3">
        <w:rPr>
          <w:rFonts w:hint="eastAsia"/>
        </w:rPr>
        <w:t>、</w:t>
      </w:r>
      <w:r w:rsidR="00B669F3" w:rsidRPr="00B669F3">
        <w:rPr>
          <w:rFonts w:hint="eastAsia"/>
        </w:rPr>
        <w:t>中证</w:t>
      </w:r>
      <w:r w:rsidR="00B669F3" w:rsidRPr="00B669F3">
        <w:rPr>
          <w:rFonts w:hint="eastAsia"/>
        </w:rPr>
        <w:t>500</w:t>
      </w:r>
      <w:r w:rsidR="00B669F3" w:rsidRPr="00B669F3">
        <w:rPr>
          <w:rFonts w:hint="eastAsia"/>
        </w:rPr>
        <w:t>期货跨期价差</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721376" w:rsidTr="00FF1AF9">
        <w:trPr>
          <w:cantSplit/>
          <w:trHeight w:val="3629"/>
        </w:trPr>
        <w:tc>
          <w:tcPr>
            <w:tcW w:w="9498" w:type="dxa"/>
          </w:tcPr>
          <w:p w:rsidR="00721376" w:rsidRDefault="008B162C" w:rsidP="00FF1AF9">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06368" behindDoc="0" locked="0" layoutInCell="1" allowOverlap="1">
                  <wp:simplePos x="0" y="0"/>
                  <wp:positionH relativeFrom="column">
                    <wp:posOffset>2974117</wp:posOffset>
                  </wp:positionH>
                  <wp:positionV relativeFrom="paragraph">
                    <wp:posOffset>53700</wp:posOffset>
                  </wp:positionV>
                  <wp:extent cx="2979523" cy="2240548"/>
                  <wp:effectExtent l="19050" t="0" r="0" b="0"/>
                  <wp:wrapNone/>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979166" cy="2240280"/>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705344" behindDoc="0" locked="0" layoutInCell="1" allowOverlap="1">
                  <wp:simplePos x="0" y="0"/>
                  <wp:positionH relativeFrom="column">
                    <wp:posOffset>-49530</wp:posOffset>
                  </wp:positionH>
                  <wp:positionV relativeFrom="paragraph">
                    <wp:posOffset>53340</wp:posOffset>
                  </wp:positionV>
                  <wp:extent cx="2891790" cy="2240280"/>
                  <wp:effectExtent l="19050" t="0" r="3810" b="0"/>
                  <wp:wrapNone/>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891790" cy="2240280"/>
                          </a:xfrm>
                          <a:prstGeom prst="rect">
                            <a:avLst/>
                          </a:prstGeom>
                          <a:noFill/>
                          <a:ln w="9525">
                            <a:noFill/>
                            <a:miter lim="800000"/>
                            <a:headEnd/>
                            <a:tailEnd/>
                          </a:ln>
                        </pic:spPr>
                      </pic:pic>
                    </a:graphicData>
                  </a:graphic>
                </wp:anchor>
              </w:drawing>
            </w:r>
          </w:p>
        </w:tc>
      </w:tr>
      <w:tr w:rsidR="00721376" w:rsidTr="00FF1AF9">
        <w:tblPrEx>
          <w:tblCellMar>
            <w:left w:w="0" w:type="dxa"/>
            <w:right w:w="0" w:type="dxa"/>
          </w:tblCellMar>
        </w:tblPrEx>
        <w:trPr>
          <w:cantSplit/>
        </w:trPr>
        <w:tc>
          <w:tcPr>
            <w:tcW w:w="9498" w:type="dxa"/>
          </w:tcPr>
          <w:p w:rsidR="00721376" w:rsidRDefault="00721376" w:rsidP="00FF1AF9">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p w:rsidR="00B669F3" w:rsidRDefault="00B669F3" w:rsidP="00FF1AF9">
            <w:pPr>
              <w:widowControl/>
              <w:spacing w:beforeLines="0" w:afterLines="0" w:line="240" w:lineRule="auto"/>
              <w:jc w:val="left"/>
              <w:rPr>
                <w:rFonts w:ascii="华文仿宋" w:eastAsia="华文仿宋" w:hAnsi="华文仿宋"/>
                <w:bCs/>
                <w:sz w:val="18"/>
                <w:szCs w:val="18"/>
                <w:lang w:bidi="en-US"/>
              </w:rPr>
            </w:pPr>
          </w:p>
          <w:p w:rsidR="00B669F3" w:rsidRPr="00B669F3" w:rsidRDefault="00B669F3" w:rsidP="00FF1AF9">
            <w:pPr>
              <w:widowControl/>
              <w:spacing w:beforeLines="0" w:afterLines="0" w:line="240" w:lineRule="auto"/>
              <w:jc w:val="left"/>
              <w:rPr>
                <w:rFonts w:ascii="华文仿宋" w:eastAsia="华文仿宋" w:hAnsi="华文仿宋"/>
                <w:bCs/>
                <w:sz w:val="18"/>
                <w:szCs w:val="18"/>
                <w:lang w:bidi="en-US"/>
              </w:rPr>
            </w:pPr>
          </w:p>
        </w:tc>
      </w:tr>
    </w:tbl>
    <w:p w:rsidR="006C4201" w:rsidRPr="00B669F3" w:rsidRDefault="006C4201" w:rsidP="006C4201">
      <w:pPr>
        <w:spacing w:before="312" w:after="312"/>
      </w:pPr>
    </w:p>
    <w:p w:rsidR="001836D1" w:rsidRDefault="001836D1" w:rsidP="006C4201">
      <w:pPr>
        <w:spacing w:before="312" w:after="312"/>
      </w:pPr>
    </w:p>
    <w:p w:rsidR="001836D1" w:rsidRDefault="001836D1" w:rsidP="006C4201">
      <w:pPr>
        <w:spacing w:before="312" w:after="312"/>
      </w:pPr>
    </w:p>
    <w:p w:rsidR="001836D1" w:rsidRDefault="001836D1"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1836D1" w:rsidRDefault="001836D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lastRenderedPageBreak/>
        <w:t>二、</w:t>
      </w:r>
      <w:r w:rsidR="00A42A82" w:rsidRPr="00A42A82">
        <w:rPr>
          <w:rFonts w:asciiTheme="majorEastAsia" w:hAnsiTheme="majorEastAsia" w:hint="eastAsia"/>
          <w:szCs w:val="21"/>
        </w:rPr>
        <w:t>股票市场数据统计：</w:t>
      </w:r>
      <w:r w:rsidR="008763F3">
        <w:rPr>
          <w:rFonts w:asciiTheme="majorEastAsia" w:hAnsiTheme="majorEastAsia" w:hint="eastAsia"/>
          <w:szCs w:val="21"/>
        </w:rPr>
        <w:t>板块普涨，交投活跃</w:t>
      </w:r>
    </w:p>
    <w:p w:rsidR="000236A3" w:rsidRDefault="000236A3" w:rsidP="000236A3">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4</w:t>
      </w:r>
      <w:r w:rsidR="00593347">
        <w:fldChar w:fldCharType="end"/>
      </w:r>
      <w:r>
        <w:rPr>
          <w:rFonts w:hint="eastAsia"/>
        </w:rPr>
        <w:t>：</w:t>
      </w:r>
      <w:r w:rsidRPr="00A33CB3">
        <w:rPr>
          <w:rFonts w:hint="eastAsia"/>
        </w:rPr>
        <w:t>申万一级行业指数月度涨跌幅</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0236A3" w:rsidTr="00FF1AF9">
        <w:trPr>
          <w:cantSplit/>
          <w:trHeight w:val="3632"/>
        </w:trPr>
        <w:tc>
          <w:tcPr>
            <w:tcW w:w="7416" w:type="dxa"/>
          </w:tcPr>
          <w:p w:rsidR="000236A3" w:rsidRDefault="00EC367D"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4080" cy="2545715"/>
                  <wp:effectExtent l="19050" t="0" r="1270" b="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4704080" cy="2545715"/>
                          </a:xfrm>
                          <a:prstGeom prst="rect">
                            <a:avLst/>
                          </a:prstGeom>
                          <a:noFill/>
                          <a:ln w="9525">
                            <a:noFill/>
                            <a:miter lim="800000"/>
                            <a:headEnd/>
                            <a:tailEnd/>
                          </a:ln>
                        </pic:spPr>
                      </pic:pic>
                    </a:graphicData>
                  </a:graphic>
                </wp:inline>
              </w:drawing>
            </w:r>
          </w:p>
        </w:tc>
      </w:tr>
      <w:tr w:rsidR="000236A3" w:rsidTr="00FF1AF9">
        <w:trPr>
          <w:cantSplit/>
        </w:trPr>
        <w:tc>
          <w:tcPr>
            <w:tcW w:w="7416" w:type="dxa"/>
          </w:tcPr>
          <w:p w:rsidR="000236A3" w:rsidRPr="00C85F13" w:rsidRDefault="000236A3"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0236A3" w:rsidRDefault="000236A3" w:rsidP="000236A3">
      <w:pPr>
        <w:pStyle w:val="ae"/>
      </w:pPr>
    </w:p>
    <w:p w:rsidR="000236A3" w:rsidRDefault="000236A3" w:rsidP="000236A3">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5</w:t>
      </w:r>
      <w:r w:rsidR="00593347">
        <w:fldChar w:fldCharType="end"/>
      </w:r>
      <w:r>
        <w:rPr>
          <w:rFonts w:hint="eastAsia"/>
        </w:rPr>
        <w:t>：</w:t>
      </w:r>
      <w:r w:rsidRPr="00CE2CB9">
        <w:rPr>
          <w:rFonts w:hint="eastAsia"/>
        </w:rPr>
        <w:t>市场整体市盈率</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0236A3" w:rsidTr="00FF1AF9">
        <w:trPr>
          <w:cantSplit/>
          <w:trHeight w:val="3632"/>
        </w:trPr>
        <w:tc>
          <w:tcPr>
            <w:tcW w:w="7416" w:type="dxa"/>
          </w:tcPr>
          <w:p w:rsidR="000236A3" w:rsidRDefault="00EC367D"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695091" cy="2257168"/>
                  <wp:effectExtent l="19050" t="0" r="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695825" cy="2257521"/>
                          </a:xfrm>
                          <a:prstGeom prst="rect">
                            <a:avLst/>
                          </a:prstGeom>
                          <a:noFill/>
                          <a:ln w="9525">
                            <a:noFill/>
                            <a:miter lim="800000"/>
                            <a:headEnd/>
                            <a:tailEnd/>
                          </a:ln>
                        </pic:spPr>
                      </pic:pic>
                    </a:graphicData>
                  </a:graphic>
                </wp:inline>
              </w:drawing>
            </w:r>
          </w:p>
        </w:tc>
      </w:tr>
      <w:tr w:rsidR="000236A3" w:rsidTr="00FF1AF9">
        <w:trPr>
          <w:cantSplit/>
        </w:trPr>
        <w:tc>
          <w:tcPr>
            <w:tcW w:w="7416" w:type="dxa"/>
          </w:tcPr>
          <w:p w:rsidR="000236A3" w:rsidRPr="00C85F13" w:rsidRDefault="000236A3"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0236A3" w:rsidRDefault="000236A3" w:rsidP="0069597E">
      <w:pPr>
        <w:spacing w:before="312" w:after="312"/>
        <w:rPr>
          <w:lang w:bidi="en-US"/>
        </w:rPr>
      </w:pPr>
    </w:p>
    <w:p w:rsidR="000236A3" w:rsidRDefault="000236A3" w:rsidP="0069597E">
      <w:pPr>
        <w:spacing w:before="312" w:after="312"/>
        <w:rPr>
          <w:lang w:bidi="en-US"/>
        </w:rPr>
      </w:pPr>
    </w:p>
    <w:p w:rsidR="000236A3" w:rsidRDefault="000236A3" w:rsidP="0069597E">
      <w:pPr>
        <w:spacing w:before="312" w:after="312"/>
        <w:rPr>
          <w:lang w:bidi="en-US"/>
        </w:rPr>
      </w:pPr>
    </w:p>
    <w:p w:rsidR="000236A3" w:rsidRDefault="000236A3" w:rsidP="0069597E">
      <w:pPr>
        <w:spacing w:before="312" w:after="312"/>
        <w:rPr>
          <w:lang w:bidi="en-US"/>
        </w:rPr>
      </w:pPr>
    </w:p>
    <w:p w:rsidR="00EC367D" w:rsidRDefault="00EC367D" w:rsidP="000236A3">
      <w:pPr>
        <w:pStyle w:val="ae"/>
      </w:pPr>
    </w:p>
    <w:p w:rsidR="000236A3" w:rsidRDefault="000236A3" w:rsidP="000236A3">
      <w:pPr>
        <w:pStyle w:val="ae"/>
      </w:pPr>
      <w:r>
        <w:rPr>
          <w:rFonts w:hint="eastAsia"/>
        </w:rPr>
        <w:lastRenderedPageBreak/>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6</w:t>
      </w:r>
      <w:r w:rsidR="00593347">
        <w:fldChar w:fldCharType="end"/>
      </w:r>
      <w:r>
        <w:rPr>
          <w:rFonts w:hint="eastAsia"/>
        </w:rPr>
        <w:t>：</w:t>
      </w:r>
      <w:r w:rsidRPr="00C72143">
        <w:rPr>
          <w:rFonts w:hint="eastAsia"/>
        </w:rPr>
        <w:t>沪深两融余额</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0236A3" w:rsidTr="00FF1AF9">
        <w:trPr>
          <w:cantSplit/>
          <w:trHeight w:val="3632"/>
        </w:trPr>
        <w:tc>
          <w:tcPr>
            <w:tcW w:w="7416" w:type="dxa"/>
          </w:tcPr>
          <w:p w:rsidR="000236A3" w:rsidRDefault="00EC367D"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0994" cy="2224216"/>
                  <wp:effectExtent l="19050" t="0" r="4356"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4704080" cy="2225676"/>
                          </a:xfrm>
                          <a:prstGeom prst="rect">
                            <a:avLst/>
                          </a:prstGeom>
                          <a:noFill/>
                          <a:ln w="9525">
                            <a:noFill/>
                            <a:miter lim="800000"/>
                            <a:headEnd/>
                            <a:tailEnd/>
                          </a:ln>
                        </pic:spPr>
                      </pic:pic>
                    </a:graphicData>
                  </a:graphic>
                </wp:inline>
              </w:drawing>
            </w:r>
          </w:p>
        </w:tc>
      </w:tr>
      <w:tr w:rsidR="000236A3" w:rsidTr="00FF1AF9">
        <w:trPr>
          <w:cantSplit/>
        </w:trPr>
        <w:tc>
          <w:tcPr>
            <w:tcW w:w="7416" w:type="dxa"/>
          </w:tcPr>
          <w:p w:rsidR="000236A3" w:rsidRPr="00C85F13" w:rsidRDefault="000236A3"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DC1FC9" w:rsidRDefault="00DC1FC9" w:rsidP="00DC1FC9">
      <w:pPr>
        <w:pStyle w:val="ae"/>
      </w:pPr>
    </w:p>
    <w:p w:rsidR="00DC1FC9" w:rsidRDefault="00DC1FC9" w:rsidP="00DC1FC9">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7</w:t>
      </w:r>
      <w:r w:rsidR="00593347">
        <w:fldChar w:fldCharType="end"/>
      </w:r>
      <w:r>
        <w:rPr>
          <w:rFonts w:hint="eastAsia"/>
        </w:rPr>
        <w:t>：</w:t>
      </w:r>
      <w:r w:rsidR="00EC367D">
        <w:rPr>
          <w:rFonts w:hint="eastAsia"/>
        </w:rPr>
        <w:t>新增投资者数量</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DC1FC9" w:rsidTr="00FF1AF9">
        <w:trPr>
          <w:cantSplit/>
          <w:trHeight w:val="3632"/>
        </w:trPr>
        <w:tc>
          <w:tcPr>
            <w:tcW w:w="7416" w:type="dxa"/>
          </w:tcPr>
          <w:p w:rsidR="00DC1FC9" w:rsidRDefault="00EC367D"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695091" cy="2298357"/>
                  <wp:effectExtent l="19050" t="0" r="0" b="0"/>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4695825" cy="2298716"/>
                          </a:xfrm>
                          <a:prstGeom prst="rect">
                            <a:avLst/>
                          </a:prstGeom>
                          <a:noFill/>
                          <a:ln w="9525">
                            <a:noFill/>
                            <a:miter lim="800000"/>
                            <a:headEnd/>
                            <a:tailEnd/>
                          </a:ln>
                        </pic:spPr>
                      </pic:pic>
                    </a:graphicData>
                  </a:graphic>
                </wp:inline>
              </w:drawing>
            </w:r>
          </w:p>
        </w:tc>
      </w:tr>
      <w:tr w:rsidR="00DC1FC9" w:rsidTr="00FF1AF9">
        <w:trPr>
          <w:cantSplit/>
        </w:trPr>
        <w:tc>
          <w:tcPr>
            <w:tcW w:w="7416" w:type="dxa"/>
          </w:tcPr>
          <w:p w:rsidR="00DC1FC9" w:rsidRPr="00C85F13" w:rsidRDefault="00DC1FC9"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044456" w:rsidRDefault="00E54ECB" w:rsidP="0069597E">
      <w:pPr>
        <w:spacing w:before="312" w:after="312"/>
        <w:rPr>
          <w:lang w:bidi="en-US"/>
        </w:rPr>
      </w:pPr>
      <w:r>
        <w:rPr>
          <w:rFonts w:hint="eastAsia"/>
          <w:lang w:bidi="en-US"/>
        </w:rPr>
        <w:t>2</w:t>
      </w:r>
      <w:r w:rsidR="00DC1FC9">
        <w:rPr>
          <w:rFonts w:hint="eastAsia"/>
          <w:lang w:bidi="en-US"/>
        </w:rPr>
        <w:t>月份期指</w:t>
      </w:r>
      <w:r>
        <w:rPr>
          <w:rFonts w:hint="eastAsia"/>
          <w:lang w:bidi="en-US"/>
        </w:rPr>
        <w:t>呈现出普涨的格局。传统防御板块食品饮料板块涨幅靠前。但同样属于防御板块的农业和医药股却涨幅垫底。而资源类板块中，黑色金属涨幅靠前而采掘类涨幅靠后。此外，市场板块整体涨跌幅差距不大，说明二八分化现象</w:t>
      </w:r>
      <w:r w:rsidR="003614EE">
        <w:rPr>
          <w:rFonts w:hint="eastAsia"/>
          <w:lang w:bidi="en-US"/>
        </w:rPr>
        <w:t>有所收敛。从估值看，中小创在经过连续调整后，市盈率继续下降，而且中小创</w:t>
      </w:r>
      <w:r w:rsidR="003614EE">
        <w:rPr>
          <w:rFonts w:hint="eastAsia"/>
          <w:lang w:bidi="en-US"/>
        </w:rPr>
        <w:t>16</w:t>
      </w:r>
      <w:r w:rsidR="003614EE">
        <w:rPr>
          <w:rFonts w:hint="eastAsia"/>
          <w:lang w:bidi="en-US"/>
        </w:rPr>
        <w:t>年依旧维持较高增长，因此即使近期股价有所反弹，但整体市盈率还是继续下行。而主板市场市盈率却有稳步回升的迹象。从市场参与度看，随着股指上行，两融余额大幅上升，但新开户数量却逆势下滑，说明目前市场已进入存量博弈阶段。</w:t>
      </w:r>
    </w:p>
    <w:p w:rsidR="00E30984" w:rsidRDefault="00E30984" w:rsidP="0069597E">
      <w:pPr>
        <w:spacing w:before="312" w:after="312"/>
        <w:rPr>
          <w:lang w:bidi="en-US"/>
        </w:rPr>
      </w:pPr>
    </w:p>
    <w:p w:rsidR="00B669F3" w:rsidRDefault="00B669F3" w:rsidP="00B669F3">
      <w:pPr>
        <w:spacing w:before="312" w:after="312"/>
      </w:pPr>
    </w:p>
    <w:p w:rsidR="00AE48B6" w:rsidRPr="0069597E" w:rsidRDefault="00BB3B31" w:rsidP="0069597E">
      <w:pPr>
        <w:pStyle w:val="2"/>
        <w:spacing w:before="312" w:after="312"/>
      </w:pPr>
      <w:r w:rsidRPr="0069597E">
        <w:lastRenderedPageBreak/>
        <w:t>三、</w:t>
      </w:r>
      <w:r w:rsidR="00A42A82" w:rsidRPr="00A42A82">
        <w:rPr>
          <w:rFonts w:hint="eastAsia"/>
        </w:rPr>
        <w:t>宏观和基本面分析</w:t>
      </w:r>
      <w:r w:rsidR="00E2743D">
        <w:rPr>
          <w:rFonts w:hint="eastAsia"/>
        </w:rPr>
        <w:t>：</w:t>
      </w:r>
      <w:r w:rsidR="00022A57">
        <w:rPr>
          <w:rFonts w:hint="eastAsia"/>
        </w:rPr>
        <w:t>宏观经济逐渐进入需求旺季</w:t>
      </w:r>
    </w:p>
    <w:p w:rsidR="00A42A82" w:rsidRDefault="00A42A82" w:rsidP="00A42A82">
      <w:pPr>
        <w:pStyle w:val="ae"/>
        <w:keepNext/>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8</w:t>
      </w:r>
      <w:r w:rsidR="00593347">
        <w:fldChar w:fldCharType="end"/>
      </w:r>
      <w:r>
        <w:t>：</w:t>
      </w:r>
      <w:r w:rsidRPr="00A42A82">
        <w:rPr>
          <w:rFonts w:hint="eastAsia"/>
        </w:rPr>
        <w:t>GDP</w:t>
      </w:r>
      <w:r w:rsidRPr="00A42A82">
        <w:rPr>
          <w:rFonts w:hint="eastAsia"/>
        </w:rPr>
        <w:t>增速</w:t>
      </w:r>
      <w:r>
        <w:rPr>
          <w:rFonts w:hint="eastAsia"/>
        </w:rPr>
        <w:t>、</w:t>
      </w:r>
      <w:r w:rsidRPr="00A42A82">
        <w:t>PMI</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A42A82" w:rsidTr="001B4553">
        <w:trPr>
          <w:cantSplit/>
          <w:trHeight w:val="3065"/>
        </w:trPr>
        <w:tc>
          <w:tcPr>
            <w:tcW w:w="9498" w:type="dxa"/>
          </w:tcPr>
          <w:p w:rsidR="00A42A82" w:rsidRDefault="001B4553" w:rsidP="00D472C8">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08416" behindDoc="0" locked="0" layoutInCell="1" allowOverlap="1">
                  <wp:simplePos x="0" y="0"/>
                  <wp:positionH relativeFrom="column">
                    <wp:posOffset>3114040</wp:posOffset>
                  </wp:positionH>
                  <wp:positionV relativeFrom="paragraph">
                    <wp:posOffset>46355</wp:posOffset>
                  </wp:positionV>
                  <wp:extent cx="2830830" cy="1902460"/>
                  <wp:effectExtent l="19050" t="0" r="762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30830" cy="1902460"/>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707392" behindDoc="0" locked="0" layoutInCell="1" allowOverlap="1">
                  <wp:simplePos x="0" y="0"/>
                  <wp:positionH relativeFrom="column">
                    <wp:posOffset>-49170</wp:posOffset>
                  </wp:positionH>
                  <wp:positionV relativeFrom="paragraph">
                    <wp:posOffset>-3004</wp:posOffset>
                  </wp:positionV>
                  <wp:extent cx="2995999" cy="1952367"/>
                  <wp:effectExtent l="1905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995999" cy="1952367"/>
                          </a:xfrm>
                          <a:prstGeom prst="rect">
                            <a:avLst/>
                          </a:prstGeom>
                          <a:noFill/>
                          <a:ln w="9525">
                            <a:noFill/>
                            <a:miter lim="800000"/>
                            <a:headEnd/>
                            <a:tailEnd/>
                          </a:ln>
                        </pic:spPr>
                      </pic:pic>
                    </a:graphicData>
                  </a:graphic>
                </wp:anchor>
              </w:drawing>
            </w:r>
          </w:p>
        </w:tc>
      </w:tr>
      <w:tr w:rsidR="00A42A82" w:rsidTr="00D472C8">
        <w:tblPrEx>
          <w:tblCellMar>
            <w:left w:w="0" w:type="dxa"/>
            <w:right w:w="0" w:type="dxa"/>
          </w:tblCellMar>
        </w:tblPrEx>
        <w:trPr>
          <w:cantSplit/>
        </w:trPr>
        <w:tc>
          <w:tcPr>
            <w:tcW w:w="9498" w:type="dxa"/>
          </w:tcPr>
          <w:p w:rsidR="00A42A82" w:rsidRPr="00F6467B" w:rsidRDefault="00A42A82" w:rsidP="00D472C8">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0236A3" w:rsidRDefault="00752F64" w:rsidP="001B4553">
      <w:pPr>
        <w:spacing w:before="312" w:after="312"/>
      </w:pPr>
      <w:r w:rsidRPr="00752F64">
        <w:rPr>
          <w:rFonts w:hint="eastAsia"/>
          <w:lang w:bidi="en-US"/>
        </w:rPr>
        <w:t>2017</w:t>
      </w:r>
      <w:r w:rsidRPr="00752F64">
        <w:rPr>
          <w:rFonts w:hint="eastAsia"/>
          <w:lang w:bidi="en-US"/>
        </w:rPr>
        <w:t>年</w:t>
      </w:r>
      <w:r w:rsidRPr="00752F64">
        <w:rPr>
          <w:rFonts w:hint="eastAsia"/>
          <w:lang w:bidi="en-US"/>
        </w:rPr>
        <w:t>1</w:t>
      </w:r>
      <w:r w:rsidRPr="00752F64">
        <w:rPr>
          <w:rFonts w:hint="eastAsia"/>
          <w:lang w:bidi="en-US"/>
        </w:rPr>
        <w:t>月官方制造业</w:t>
      </w:r>
      <w:r w:rsidRPr="00752F64">
        <w:rPr>
          <w:rFonts w:hint="eastAsia"/>
          <w:lang w:bidi="en-US"/>
        </w:rPr>
        <w:t>PMI</w:t>
      </w:r>
      <w:r w:rsidRPr="00752F64">
        <w:rPr>
          <w:rFonts w:hint="eastAsia"/>
          <w:lang w:bidi="en-US"/>
        </w:rPr>
        <w:t>为</w:t>
      </w:r>
      <w:r w:rsidRPr="00752F64">
        <w:rPr>
          <w:rFonts w:hint="eastAsia"/>
          <w:lang w:bidi="en-US"/>
        </w:rPr>
        <w:t>51.3</w:t>
      </w:r>
      <w:r w:rsidRPr="00752F64">
        <w:rPr>
          <w:rFonts w:hint="eastAsia"/>
          <w:lang w:bidi="en-US"/>
        </w:rPr>
        <w:t>，前值</w:t>
      </w:r>
      <w:r w:rsidRPr="00752F64">
        <w:rPr>
          <w:rFonts w:hint="eastAsia"/>
          <w:lang w:bidi="en-US"/>
        </w:rPr>
        <w:t>51.4</w:t>
      </w:r>
      <w:r w:rsidRPr="00752F64">
        <w:rPr>
          <w:rFonts w:hint="eastAsia"/>
          <w:lang w:bidi="en-US"/>
        </w:rPr>
        <w:t>，下降</w:t>
      </w:r>
      <w:r w:rsidRPr="00752F64">
        <w:rPr>
          <w:rFonts w:hint="eastAsia"/>
          <w:lang w:bidi="en-US"/>
        </w:rPr>
        <w:t>0.1</w:t>
      </w:r>
      <w:r w:rsidRPr="00752F64">
        <w:rPr>
          <w:rFonts w:hint="eastAsia"/>
          <w:lang w:bidi="en-US"/>
        </w:rPr>
        <w:t>个百分点。连续</w:t>
      </w:r>
      <w:r w:rsidRPr="00752F64">
        <w:rPr>
          <w:rFonts w:hint="eastAsia"/>
          <w:lang w:bidi="en-US"/>
        </w:rPr>
        <w:t>6</w:t>
      </w:r>
      <w:r w:rsidRPr="00752F64">
        <w:rPr>
          <w:rFonts w:hint="eastAsia"/>
          <w:lang w:bidi="en-US"/>
        </w:rPr>
        <w:t>个月高于荣枯线，为近</w:t>
      </w:r>
      <w:r w:rsidRPr="00752F64">
        <w:rPr>
          <w:rFonts w:hint="eastAsia"/>
          <w:lang w:bidi="en-US"/>
        </w:rPr>
        <w:t>5</w:t>
      </w:r>
      <w:r w:rsidRPr="00752F64">
        <w:rPr>
          <w:rFonts w:hint="eastAsia"/>
          <w:lang w:bidi="en-US"/>
        </w:rPr>
        <w:t>年来同一月份的最高点。分项看，生产指数</w:t>
      </w:r>
      <w:r w:rsidRPr="00752F64">
        <w:rPr>
          <w:rFonts w:hint="eastAsia"/>
          <w:lang w:bidi="en-US"/>
        </w:rPr>
        <w:t>53.1</w:t>
      </w:r>
      <w:r w:rsidRPr="00752F64">
        <w:rPr>
          <w:rFonts w:hint="eastAsia"/>
          <w:lang w:bidi="en-US"/>
        </w:rPr>
        <w:t>，微降</w:t>
      </w:r>
      <w:r w:rsidRPr="00752F64">
        <w:rPr>
          <w:rFonts w:hint="eastAsia"/>
          <w:lang w:bidi="en-US"/>
        </w:rPr>
        <w:t>0.2</w:t>
      </w:r>
      <w:r w:rsidRPr="00752F64">
        <w:rPr>
          <w:rFonts w:hint="eastAsia"/>
          <w:lang w:bidi="en-US"/>
        </w:rPr>
        <w:t>个百分点，，这主要使受春节假期因素得影响。新订单指数</w:t>
      </w:r>
      <w:r w:rsidRPr="00752F64">
        <w:rPr>
          <w:rFonts w:hint="eastAsia"/>
          <w:lang w:bidi="en-US"/>
        </w:rPr>
        <w:t>52.8</w:t>
      </w:r>
      <w:r w:rsidRPr="00752F64">
        <w:rPr>
          <w:rFonts w:hint="eastAsia"/>
          <w:lang w:bidi="en-US"/>
        </w:rPr>
        <w:t>，下降</w:t>
      </w:r>
      <w:r w:rsidRPr="00752F64">
        <w:rPr>
          <w:rFonts w:hint="eastAsia"/>
          <w:lang w:bidi="en-US"/>
        </w:rPr>
        <w:t>0.4</w:t>
      </w:r>
      <w:r w:rsidRPr="00752F64">
        <w:rPr>
          <w:rFonts w:hint="eastAsia"/>
          <w:lang w:bidi="en-US"/>
        </w:rPr>
        <w:t>个百分点；新出口订单</w:t>
      </w:r>
      <w:r w:rsidRPr="00752F64">
        <w:rPr>
          <w:rFonts w:hint="eastAsia"/>
          <w:lang w:bidi="en-US"/>
        </w:rPr>
        <w:t>50.3</w:t>
      </w:r>
      <w:r w:rsidRPr="00752F64">
        <w:rPr>
          <w:rFonts w:hint="eastAsia"/>
          <w:lang w:bidi="en-US"/>
        </w:rPr>
        <w:t>，微升</w:t>
      </w:r>
      <w:r w:rsidRPr="00752F64">
        <w:rPr>
          <w:rFonts w:hint="eastAsia"/>
          <w:lang w:bidi="en-US"/>
        </w:rPr>
        <w:t>0.2</w:t>
      </w:r>
      <w:r w:rsidRPr="00752F64">
        <w:rPr>
          <w:rFonts w:hint="eastAsia"/>
          <w:lang w:bidi="en-US"/>
        </w:rPr>
        <w:t>个百分点。由于房产下行、基建还未发力导致目前需求还较为疲软；美国和欧洲复苏态势良好，外需或进一步扩张。原材料购进价格指数</w:t>
      </w:r>
      <w:r w:rsidRPr="00752F64">
        <w:rPr>
          <w:rFonts w:hint="eastAsia"/>
          <w:lang w:bidi="en-US"/>
        </w:rPr>
        <w:t>64.5</w:t>
      </w:r>
      <w:r w:rsidRPr="00752F64">
        <w:rPr>
          <w:rFonts w:hint="eastAsia"/>
          <w:lang w:bidi="en-US"/>
        </w:rPr>
        <w:t>，大降</w:t>
      </w:r>
      <w:r w:rsidRPr="00752F64">
        <w:rPr>
          <w:rFonts w:hint="eastAsia"/>
          <w:lang w:bidi="en-US"/>
        </w:rPr>
        <w:t>5.1</w:t>
      </w:r>
      <w:r w:rsidRPr="00752F64">
        <w:rPr>
          <w:rFonts w:hint="eastAsia"/>
          <w:lang w:bidi="en-US"/>
        </w:rPr>
        <w:t>个百分点，由于大宗商品年初高位滞涨，导致</w:t>
      </w:r>
      <w:r w:rsidRPr="00752F64">
        <w:rPr>
          <w:rFonts w:hint="eastAsia"/>
          <w:lang w:bidi="en-US"/>
        </w:rPr>
        <w:t>PPI</w:t>
      </w:r>
      <w:r w:rsidRPr="00752F64">
        <w:rPr>
          <w:rFonts w:hint="eastAsia"/>
          <w:lang w:bidi="en-US"/>
        </w:rPr>
        <w:t>增速受灾，虽然供给侧的逻辑仍在，但整体通胀取决于能否从上游传导至中下游。产成品库存指数</w:t>
      </w:r>
      <w:r w:rsidRPr="00752F64">
        <w:rPr>
          <w:rFonts w:hint="eastAsia"/>
          <w:lang w:bidi="en-US"/>
        </w:rPr>
        <w:t>45</w:t>
      </w:r>
      <w:r w:rsidRPr="00752F64">
        <w:rPr>
          <w:rFonts w:hint="eastAsia"/>
          <w:lang w:bidi="en-US"/>
        </w:rPr>
        <w:t>，上升</w:t>
      </w:r>
      <w:r w:rsidRPr="00752F64">
        <w:rPr>
          <w:rFonts w:hint="eastAsia"/>
          <w:lang w:bidi="en-US"/>
        </w:rPr>
        <w:t>0.6</w:t>
      </w:r>
      <w:r w:rsidRPr="00752F64">
        <w:rPr>
          <w:rFonts w:hint="eastAsia"/>
          <w:lang w:bidi="en-US"/>
        </w:rPr>
        <w:t>个百分点；原材料库存指数</w:t>
      </w:r>
      <w:r w:rsidRPr="00752F64">
        <w:rPr>
          <w:rFonts w:hint="eastAsia"/>
          <w:lang w:bidi="en-US"/>
        </w:rPr>
        <w:t>48</w:t>
      </w:r>
      <w:r w:rsidRPr="00752F64">
        <w:rPr>
          <w:rFonts w:hint="eastAsia"/>
          <w:lang w:bidi="en-US"/>
        </w:rPr>
        <w:t>，与上月持平。目前库存仍处于处于低位，但库存去化有所放缓，季节性需求疲软导致企业主动补库意愿下降。</w:t>
      </w:r>
      <w:bookmarkStart w:id="0" w:name="_Toc460260802"/>
    </w:p>
    <w:p w:rsidR="000236A3" w:rsidRDefault="000236A3" w:rsidP="00D775FA">
      <w:pPr>
        <w:pStyle w:val="ae"/>
        <w:ind w:leftChars="-1012" w:left="-2125"/>
      </w:pPr>
    </w:p>
    <w:p w:rsidR="00D775FA" w:rsidRDefault="00D775FA" w:rsidP="00D775FA">
      <w:pPr>
        <w:pStyle w:val="ae"/>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9</w:t>
      </w:r>
      <w:r w:rsidR="00593347">
        <w:fldChar w:fldCharType="end"/>
      </w:r>
      <w:r>
        <w:rPr>
          <w:rFonts w:hint="eastAsia"/>
        </w:rPr>
        <w:t>：工业增加值、固定投资增速</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D775FA" w:rsidTr="00D472C8">
        <w:trPr>
          <w:cantSplit/>
          <w:trHeight w:val="3629"/>
        </w:trPr>
        <w:tc>
          <w:tcPr>
            <w:tcW w:w="9498" w:type="dxa"/>
          </w:tcPr>
          <w:p w:rsidR="00D775FA" w:rsidRDefault="008763F3" w:rsidP="00D472C8">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09440" behindDoc="0" locked="0" layoutInCell="1" allowOverlap="1">
                  <wp:simplePos x="0" y="0"/>
                  <wp:positionH relativeFrom="column">
                    <wp:posOffset>3130636</wp:posOffset>
                  </wp:positionH>
                  <wp:positionV relativeFrom="paragraph">
                    <wp:posOffset>65903</wp:posOffset>
                  </wp:positionV>
                  <wp:extent cx="2757100" cy="2265405"/>
                  <wp:effectExtent l="19050" t="0" r="515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763332" cy="2270526"/>
                          </a:xfrm>
                          <a:prstGeom prst="rect">
                            <a:avLst/>
                          </a:prstGeom>
                          <a:noFill/>
                          <a:ln w="9525">
                            <a:noFill/>
                            <a:miter lim="800000"/>
                            <a:headEnd/>
                            <a:tailEnd/>
                          </a:ln>
                        </pic:spPr>
                      </pic:pic>
                    </a:graphicData>
                  </a:graphic>
                </wp:anchor>
              </w:drawing>
            </w:r>
            <w:r>
              <w:rPr>
                <w:rFonts w:ascii="宋体" w:hAnsi="宋体"/>
                <w:bCs/>
                <w:noProof/>
                <w:szCs w:val="21"/>
              </w:rPr>
              <w:drawing>
                <wp:inline distT="0" distB="0" distL="0" distR="0">
                  <wp:extent cx="3078993" cy="2281881"/>
                  <wp:effectExtent l="19050" t="0" r="7107"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079767" cy="2282455"/>
                          </a:xfrm>
                          <a:prstGeom prst="rect">
                            <a:avLst/>
                          </a:prstGeom>
                          <a:noFill/>
                          <a:ln w="9525">
                            <a:noFill/>
                            <a:miter lim="800000"/>
                            <a:headEnd/>
                            <a:tailEnd/>
                          </a:ln>
                        </pic:spPr>
                      </pic:pic>
                    </a:graphicData>
                  </a:graphic>
                </wp:inline>
              </w:drawing>
            </w:r>
          </w:p>
        </w:tc>
      </w:tr>
      <w:tr w:rsidR="00D775FA" w:rsidTr="00D472C8">
        <w:tblPrEx>
          <w:tblCellMar>
            <w:left w:w="0" w:type="dxa"/>
            <w:right w:w="0" w:type="dxa"/>
          </w:tblCellMar>
        </w:tblPrEx>
        <w:trPr>
          <w:cantSplit/>
        </w:trPr>
        <w:tc>
          <w:tcPr>
            <w:tcW w:w="9498" w:type="dxa"/>
          </w:tcPr>
          <w:p w:rsidR="00D775FA" w:rsidRPr="00F6467B" w:rsidRDefault="00D775FA" w:rsidP="00D472C8">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0C1B" w:rsidRPr="00690C1B" w:rsidRDefault="00690C1B" w:rsidP="00690C1B">
      <w:pPr>
        <w:spacing w:before="312" w:after="312"/>
        <w:rPr>
          <w:lang w:bidi="en-US"/>
        </w:rPr>
      </w:pPr>
      <w:r>
        <w:rPr>
          <w:rFonts w:hint="eastAsia"/>
          <w:lang w:bidi="en-US"/>
        </w:rPr>
        <w:lastRenderedPageBreak/>
        <w:t>虽然按照统计局惯例</w:t>
      </w:r>
      <w:r>
        <w:rPr>
          <w:rFonts w:hint="eastAsia"/>
          <w:lang w:bidi="en-US"/>
        </w:rPr>
        <w:t>1</w:t>
      </w:r>
      <w:r>
        <w:rPr>
          <w:rFonts w:hint="eastAsia"/>
          <w:lang w:bidi="en-US"/>
        </w:rPr>
        <w:t>月通常不公布工业增加值、固定资产投资、财政收支等经济数据，但是从制造业</w:t>
      </w:r>
      <w:r>
        <w:rPr>
          <w:rFonts w:hint="eastAsia"/>
          <w:lang w:bidi="en-US"/>
        </w:rPr>
        <w:t>PMI</w:t>
      </w:r>
      <w:r>
        <w:rPr>
          <w:rFonts w:hint="eastAsia"/>
          <w:lang w:bidi="en-US"/>
        </w:rPr>
        <w:t>和中观各行业数据看，</w:t>
      </w:r>
      <w:r>
        <w:rPr>
          <w:rFonts w:hint="eastAsia"/>
          <w:lang w:bidi="en-US"/>
        </w:rPr>
        <w:t>1</w:t>
      </w:r>
      <w:r>
        <w:rPr>
          <w:rFonts w:hint="eastAsia"/>
          <w:lang w:bidi="en-US"/>
        </w:rPr>
        <w:t>月及</w:t>
      </w:r>
      <w:r>
        <w:rPr>
          <w:rFonts w:hint="eastAsia"/>
          <w:lang w:bidi="en-US"/>
        </w:rPr>
        <w:t>2</w:t>
      </w:r>
      <w:r>
        <w:rPr>
          <w:rFonts w:hint="eastAsia"/>
          <w:lang w:bidi="en-US"/>
        </w:rPr>
        <w:t>月工业生产依旧较为，</w:t>
      </w:r>
      <w:r>
        <w:rPr>
          <w:rFonts w:hint="eastAsia"/>
          <w:lang w:bidi="en-US"/>
        </w:rPr>
        <w:t>1</w:t>
      </w:r>
      <w:r>
        <w:rPr>
          <w:rFonts w:hint="eastAsia"/>
          <w:lang w:bidi="en-US"/>
        </w:rPr>
        <w:t>月全国粗钢产量增速升至</w:t>
      </w:r>
      <w:r>
        <w:rPr>
          <w:rFonts w:hint="eastAsia"/>
          <w:lang w:bidi="en-US"/>
        </w:rPr>
        <w:t>10%</w:t>
      </w:r>
      <w:r>
        <w:rPr>
          <w:rFonts w:hint="eastAsia"/>
          <w:lang w:bidi="en-US"/>
        </w:rPr>
        <w:t>，前俩月发电耗煤增速估计将创下</w:t>
      </w:r>
      <w:r>
        <w:rPr>
          <w:rFonts w:hint="eastAsia"/>
          <w:lang w:bidi="en-US"/>
        </w:rPr>
        <w:t>14%</w:t>
      </w:r>
      <w:r>
        <w:rPr>
          <w:rFonts w:hint="eastAsia"/>
          <w:lang w:bidi="en-US"/>
        </w:rPr>
        <w:t>的新高。从下游看，</w:t>
      </w:r>
      <w:r>
        <w:rPr>
          <w:rFonts w:hint="eastAsia"/>
          <w:lang w:bidi="en-US"/>
        </w:rPr>
        <w:t>1-2</w:t>
      </w:r>
      <w:r>
        <w:rPr>
          <w:rFonts w:hint="eastAsia"/>
          <w:lang w:bidi="en-US"/>
        </w:rPr>
        <w:t>月</w:t>
      </w:r>
      <w:r>
        <w:rPr>
          <w:rFonts w:hint="eastAsia"/>
          <w:lang w:bidi="en-US"/>
        </w:rPr>
        <w:t>40</w:t>
      </w:r>
      <w:r>
        <w:rPr>
          <w:rFonts w:hint="eastAsia"/>
          <w:lang w:bidi="en-US"/>
        </w:rPr>
        <w:t>城地产销量同比增速仅</w:t>
      </w:r>
      <w:r>
        <w:rPr>
          <w:rFonts w:hint="eastAsia"/>
          <w:lang w:bidi="en-US"/>
        </w:rPr>
        <w:t>-12.2%</w:t>
      </w:r>
      <w:r>
        <w:rPr>
          <w:rFonts w:hint="eastAsia"/>
          <w:lang w:bidi="en-US"/>
        </w:rPr>
        <w:t>，地产限购限贷效果仍在延续，导致需求疲软。上周十大城市商品房面积存销比降至</w:t>
      </w:r>
      <w:r>
        <w:rPr>
          <w:rFonts w:hint="eastAsia"/>
          <w:lang w:bidi="en-US"/>
        </w:rPr>
        <w:t>71</w:t>
      </w:r>
      <w:r>
        <w:rPr>
          <w:rFonts w:hint="eastAsia"/>
          <w:lang w:bidi="en-US"/>
        </w:rPr>
        <w:t>周，百城住宅土地成交面</w:t>
      </w:r>
      <w:r>
        <w:rPr>
          <w:rFonts w:hint="eastAsia"/>
          <w:lang w:bidi="en-US"/>
        </w:rPr>
        <w:cr/>
      </w:r>
      <w:r>
        <w:rPr>
          <w:rFonts w:hint="eastAsia"/>
          <w:lang w:bidi="en-US"/>
        </w:rPr>
        <w:t>积小幅回落。去年需求火爆的汽车行业由于购置税减半令</w:t>
      </w:r>
      <w:r>
        <w:rPr>
          <w:rFonts w:hint="eastAsia"/>
          <w:lang w:bidi="en-US"/>
        </w:rPr>
        <w:t>1</w:t>
      </w:r>
      <w:r>
        <w:rPr>
          <w:rFonts w:hint="eastAsia"/>
          <w:lang w:bidi="en-US"/>
        </w:rPr>
        <w:t>月乘用车需求大幅走弱、经销商库存急剧回补，汽车经销商库存系数飙升至</w:t>
      </w:r>
      <w:r>
        <w:rPr>
          <w:rFonts w:hint="eastAsia"/>
          <w:lang w:bidi="en-US"/>
        </w:rPr>
        <w:t>1.60</w:t>
      </w:r>
      <w:r>
        <w:rPr>
          <w:rFonts w:hint="eastAsia"/>
          <w:lang w:bidi="en-US"/>
        </w:rPr>
        <w:t>，创</w:t>
      </w:r>
      <w:r>
        <w:rPr>
          <w:rFonts w:hint="eastAsia"/>
          <w:lang w:bidi="en-US"/>
        </w:rPr>
        <w:t>12</w:t>
      </w:r>
      <w:r>
        <w:rPr>
          <w:rFonts w:hint="eastAsia"/>
          <w:lang w:bidi="en-US"/>
        </w:rPr>
        <w:t>年以来同期新高。虽然节后逐步回暖，但是汽车经销商信心指数大跌至</w:t>
      </w:r>
      <w:r>
        <w:rPr>
          <w:rFonts w:hint="eastAsia"/>
          <w:lang w:bidi="en-US"/>
        </w:rPr>
        <w:t>126</w:t>
      </w:r>
      <w:r>
        <w:rPr>
          <w:rFonts w:hint="eastAsia"/>
          <w:lang w:bidi="en-US"/>
        </w:rPr>
        <w:t>，表明经销商对未来需求并不乐观，需求短期改善的持续性仍需观察。去年火爆的楼市使得需求延后的家装行业开始发力，空调行业内销同比增速</w:t>
      </w:r>
      <w:r>
        <w:rPr>
          <w:rFonts w:hint="eastAsia"/>
          <w:lang w:bidi="en-US"/>
        </w:rPr>
        <w:t>61.5%</w:t>
      </w:r>
      <w:r>
        <w:rPr>
          <w:rFonts w:hint="eastAsia"/>
          <w:lang w:bidi="en-US"/>
        </w:rPr>
        <w:t>，产业在线空调厂家库销比</w:t>
      </w:r>
      <w:r>
        <w:rPr>
          <w:rFonts w:hint="eastAsia"/>
          <w:lang w:bidi="en-US"/>
        </w:rPr>
        <w:t>0.99</w:t>
      </w:r>
      <w:r>
        <w:rPr>
          <w:rFonts w:hint="eastAsia"/>
          <w:lang w:bidi="en-US"/>
        </w:rPr>
        <w:t>，处历年同期中等偏低水平。</w:t>
      </w:r>
    </w:p>
    <w:p w:rsidR="00B6056F" w:rsidRDefault="007154FC" w:rsidP="00D775FA">
      <w:pPr>
        <w:spacing w:before="312" w:after="312"/>
        <w:rPr>
          <w:lang w:bidi="en-US"/>
        </w:rPr>
      </w:pPr>
      <w:r>
        <w:rPr>
          <w:rFonts w:hint="eastAsia"/>
          <w:lang w:bidi="en-US"/>
        </w:rPr>
        <w:t>随着春节结束，我国宏观经济也逐渐进入了“金三银四”的传统工业旺季。</w:t>
      </w:r>
      <w:r w:rsidR="001F59B9">
        <w:rPr>
          <w:rFonts w:hint="eastAsia"/>
          <w:lang w:bidi="en-US"/>
        </w:rPr>
        <w:t>目前来看，整个市场关注的</w:t>
      </w:r>
      <w:r w:rsidR="001F59B9">
        <w:rPr>
          <w:rFonts w:hint="eastAsia"/>
          <w:lang w:bidi="en-US"/>
        </w:rPr>
        <w:t>2017</w:t>
      </w:r>
      <w:r w:rsidR="001F59B9">
        <w:rPr>
          <w:rFonts w:hint="eastAsia"/>
          <w:lang w:bidi="en-US"/>
        </w:rPr>
        <w:t>年宏观经济主线有三个方面，首先是房地产下滑对于经济增速的负面影响有多大，其次是加码的基建投资特别是各省申报的基建计划规模能否如愿实现，最后是</w:t>
      </w:r>
      <w:r w:rsidR="001F59B9">
        <w:rPr>
          <w:rFonts w:hint="eastAsia"/>
          <w:lang w:bidi="en-US"/>
        </w:rPr>
        <w:t>2016</w:t>
      </w:r>
      <w:r w:rsidR="001F59B9">
        <w:rPr>
          <w:rFonts w:hint="eastAsia"/>
          <w:lang w:bidi="en-US"/>
        </w:rPr>
        <w:t>年大放光彩的供给侧改革在</w:t>
      </w:r>
      <w:r w:rsidR="001F59B9">
        <w:rPr>
          <w:rFonts w:hint="eastAsia"/>
          <w:lang w:bidi="en-US"/>
        </w:rPr>
        <w:t>2017</w:t>
      </w:r>
      <w:r w:rsidR="001F59B9">
        <w:rPr>
          <w:rFonts w:hint="eastAsia"/>
          <w:lang w:bidi="en-US"/>
        </w:rPr>
        <w:t>年能否继续深入推进。由于年初央行缩进货币政策以及有传闻高层人士决策即使无法保增长也要去杠杆，使得投资者较为恐慌，股市也出现了一波跳水。而宏观经济在</w:t>
      </w:r>
      <w:r w:rsidR="001F59B9">
        <w:rPr>
          <w:rFonts w:hint="eastAsia"/>
          <w:lang w:bidi="en-US"/>
        </w:rPr>
        <w:t>2016</w:t>
      </w:r>
      <w:r w:rsidR="001F59B9">
        <w:rPr>
          <w:rFonts w:hint="eastAsia"/>
          <w:lang w:bidi="en-US"/>
        </w:rPr>
        <w:t>年较为强劲地反弹后，是否会在</w:t>
      </w:r>
      <w:r w:rsidR="001F59B9">
        <w:rPr>
          <w:rFonts w:hint="eastAsia"/>
          <w:lang w:bidi="en-US"/>
        </w:rPr>
        <w:t>2017</w:t>
      </w:r>
      <w:r w:rsidR="001F59B9">
        <w:rPr>
          <w:rFonts w:hint="eastAsia"/>
          <w:lang w:bidi="en-US"/>
        </w:rPr>
        <w:t>年昙花一现，也是市场最为关心的核心问题，而随着时间进入开工旺季，答案也即将浮出水面。</w:t>
      </w:r>
    </w:p>
    <w:p w:rsidR="00D775FA" w:rsidRDefault="001F59B9" w:rsidP="00D775FA">
      <w:pPr>
        <w:spacing w:before="312" w:after="312"/>
        <w:rPr>
          <w:lang w:bidi="en-US"/>
        </w:rPr>
      </w:pPr>
      <w:r>
        <w:rPr>
          <w:rFonts w:hint="eastAsia"/>
          <w:lang w:bidi="en-US"/>
        </w:rPr>
        <w:t>从宏观总体供需来看，</w:t>
      </w:r>
      <w:r>
        <w:rPr>
          <w:rFonts w:hint="eastAsia"/>
          <w:lang w:bidi="en-US"/>
        </w:rPr>
        <w:t>2016</w:t>
      </w:r>
      <w:r>
        <w:rPr>
          <w:rFonts w:hint="eastAsia"/>
          <w:lang w:bidi="en-US"/>
        </w:rPr>
        <w:t>年供给侧改革使得上游大为改善，煤炭、钢铁和有色等原材料价格大幅上涨，上游企业</w:t>
      </w:r>
      <w:r w:rsidR="00B6056F">
        <w:rPr>
          <w:rFonts w:hint="eastAsia"/>
          <w:lang w:bidi="en-US"/>
        </w:rPr>
        <w:t>经济绩效大为改善，同时无效产能得到有效的清理，困扰我国宏观经济多年的供应端在供给侧改革的作用下得到了有效的改善。但是，供应端收缩后，宏观经济能否进一步上台阶就要看需求端能否有效跟进。</w:t>
      </w:r>
      <w:r w:rsidR="00B6056F">
        <w:rPr>
          <w:rFonts w:hint="eastAsia"/>
          <w:lang w:bidi="en-US"/>
        </w:rPr>
        <w:t>2016</w:t>
      </w:r>
      <w:r w:rsidR="00B6056F">
        <w:rPr>
          <w:rFonts w:hint="eastAsia"/>
          <w:lang w:bidi="en-US"/>
        </w:rPr>
        <w:t>年初楼市火爆一度刺激了需求，但是随着一线楼市价格暴涨，房贷限购政策再度泰山压顶，</w:t>
      </w:r>
      <w:r w:rsidR="0028256C">
        <w:rPr>
          <w:rFonts w:hint="eastAsia"/>
          <w:lang w:bidi="en-US"/>
        </w:rPr>
        <w:t>地产投资再度回落。从事后看，火爆的楼市刺激了一二线房价的上涨，但是对于三四线海量过剩的房地产去库存收效甚微，因此房地产行业再次进入衰退阶段，预计</w:t>
      </w:r>
      <w:r w:rsidR="0028256C">
        <w:rPr>
          <w:rFonts w:hint="eastAsia"/>
          <w:lang w:bidi="en-US"/>
        </w:rPr>
        <w:t>2017</w:t>
      </w:r>
      <w:r w:rsidR="0028256C">
        <w:rPr>
          <w:rFonts w:hint="eastAsia"/>
          <w:lang w:bidi="en-US"/>
        </w:rPr>
        <w:t>年房地产行业整体将继续逐渐萎缩。</w:t>
      </w:r>
    </w:p>
    <w:p w:rsidR="00477843" w:rsidRDefault="00477843" w:rsidP="00D775FA">
      <w:pPr>
        <w:spacing w:before="312" w:after="312"/>
        <w:rPr>
          <w:lang w:bidi="en-US"/>
        </w:rPr>
      </w:pPr>
      <w:r>
        <w:rPr>
          <w:rFonts w:hint="eastAsia"/>
          <w:lang w:bidi="en-US"/>
        </w:rPr>
        <w:t>前期，</w:t>
      </w:r>
      <w:r w:rsidRPr="00477843">
        <w:rPr>
          <w:rFonts w:hint="eastAsia"/>
          <w:lang w:bidi="en-US"/>
        </w:rPr>
        <w:t>22</w:t>
      </w:r>
      <w:r w:rsidRPr="00477843">
        <w:rPr>
          <w:rFonts w:hint="eastAsia"/>
          <w:lang w:bidi="en-US"/>
        </w:rPr>
        <w:t>个省的固定资产投资超过</w:t>
      </w:r>
      <w:r w:rsidRPr="00477843">
        <w:rPr>
          <w:rFonts w:hint="eastAsia"/>
          <w:lang w:bidi="en-US"/>
        </w:rPr>
        <w:t>40</w:t>
      </w:r>
      <w:r>
        <w:rPr>
          <w:rFonts w:hint="eastAsia"/>
          <w:lang w:bidi="en-US"/>
        </w:rPr>
        <w:t>万亿的新闻受到市场热议，由于房地产下滑，基建投资变成宏观经济最为倚重的支撑。不过理性思考来看，</w:t>
      </w:r>
      <w:r>
        <w:rPr>
          <w:rFonts w:hint="eastAsia"/>
          <w:lang w:bidi="en-US"/>
        </w:rPr>
        <w:t>22</w:t>
      </w:r>
      <w:r>
        <w:rPr>
          <w:rFonts w:hint="eastAsia"/>
          <w:lang w:bidi="en-US"/>
        </w:rPr>
        <w:t>省超过</w:t>
      </w:r>
      <w:r>
        <w:rPr>
          <w:rFonts w:hint="eastAsia"/>
          <w:lang w:bidi="en-US"/>
        </w:rPr>
        <w:t>40</w:t>
      </w:r>
      <w:r>
        <w:rPr>
          <w:rFonts w:hint="eastAsia"/>
          <w:lang w:bidi="en-US"/>
        </w:rPr>
        <w:t>万亿投资的前景不宜过分乐观的解读。因为，按照过去历史来看，</w:t>
      </w:r>
      <w:r w:rsidRPr="00477843">
        <w:rPr>
          <w:rFonts w:hint="eastAsia"/>
          <w:lang w:bidi="en-US"/>
        </w:rPr>
        <w:t>受地方政府考核机制影响，固定资产投资统计数字</w:t>
      </w:r>
      <w:r>
        <w:rPr>
          <w:rFonts w:hint="eastAsia"/>
          <w:lang w:bidi="en-US"/>
        </w:rPr>
        <w:t>普遍</w:t>
      </w:r>
      <w:r w:rsidRPr="00477843">
        <w:rPr>
          <w:rFonts w:hint="eastAsia"/>
          <w:lang w:bidi="en-US"/>
        </w:rPr>
        <w:t>存在高估</w:t>
      </w:r>
      <w:r>
        <w:rPr>
          <w:rFonts w:hint="eastAsia"/>
          <w:lang w:bidi="en-US"/>
        </w:rPr>
        <w:t>。</w:t>
      </w:r>
      <w:r w:rsidRPr="00477843">
        <w:rPr>
          <w:rFonts w:hint="eastAsia"/>
          <w:lang w:bidi="en-US"/>
        </w:rPr>
        <w:t>2016</w:t>
      </w:r>
      <w:r w:rsidRPr="00477843">
        <w:rPr>
          <w:rFonts w:hint="eastAsia"/>
          <w:lang w:bidi="en-US"/>
        </w:rPr>
        <w:t>年有</w:t>
      </w:r>
      <w:r w:rsidRPr="00477843">
        <w:rPr>
          <w:rFonts w:hint="eastAsia"/>
          <w:lang w:bidi="en-US"/>
        </w:rPr>
        <w:t>25</w:t>
      </w:r>
      <w:r w:rsidRPr="00477843">
        <w:rPr>
          <w:rFonts w:hint="eastAsia"/>
          <w:lang w:bidi="en-US"/>
        </w:rPr>
        <w:t>个省区公布了固定资产</w:t>
      </w:r>
      <w:r w:rsidRPr="00477843">
        <w:rPr>
          <w:rFonts w:hint="eastAsia"/>
          <w:lang w:bidi="en-US"/>
        </w:rPr>
        <w:lastRenderedPageBreak/>
        <w:t>投资增长目标，只有</w:t>
      </w:r>
      <w:r w:rsidRPr="00477843">
        <w:rPr>
          <w:rFonts w:hint="eastAsia"/>
          <w:lang w:bidi="en-US"/>
        </w:rPr>
        <w:t>9</w:t>
      </w:r>
      <w:r w:rsidRPr="00477843">
        <w:rPr>
          <w:rFonts w:hint="eastAsia"/>
          <w:lang w:bidi="en-US"/>
        </w:rPr>
        <w:t>个省区完成了目标。</w:t>
      </w:r>
      <w:r>
        <w:rPr>
          <w:rFonts w:hint="eastAsia"/>
          <w:lang w:bidi="en-US"/>
        </w:rPr>
        <w:t>而且</w:t>
      </w:r>
      <w:r w:rsidRPr="00477843">
        <w:rPr>
          <w:rFonts w:hint="eastAsia"/>
          <w:lang w:bidi="en-US"/>
        </w:rPr>
        <w:t>2017</w:t>
      </w:r>
      <w:r w:rsidRPr="00477843">
        <w:rPr>
          <w:rFonts w:hint="eastAsia"/>
          <w:lang w:bidi="en-US"/>
        </w:rPr>
        <w:t>年多数省份都下调了固定资产投资增长目标，只有</w:t>
      </w:r>
      <w:r w:rsidRPr="00477843">
        <w:rPr>
          <w:rFonts w:hint="eastAsia"/>
          <w:lang w:bidi="en-US"/>
        </w:rPr>
        <w:t>3</w:t>
      </w:r>
      <w:r w:rsidRPr="00477843">
        <w:rPr>
          <w:rFonts w:hint="eastAsia"/>
          <w:lang w:bidi="en-US"/>
        </w:rPr>
        <w:t>个省投资增速目标高于去年，其中新疆上调幅度最大，为了配合一带一路投资增速目标定在</w:t>
      </w:r>
      <w:r w:rsidRPr="00477843">
        <w:rPr>
          <w:rFonts w:hint="eastAsia"/>
          <w:lang w:bidi="en-US"/>
        </w:rPr>
        <w:t>50%</w:t>
      </w:r>
      <w:r w:rsidRPr="00477843">
        <w:rPr>
          <w:rFonts w:hint="eastAsia"/>
          <w:lang w:bidi="en-US"/>
        </w:rPr>
        <w:t>，这样各省区投资增速的加权平均增速也仅仅与</w:t>
      </w:r>
      <w:r w:rsidRPr="00477843">
        <w:rPr>
          <w:rFonts w:hint="eastAsia"/>
          <w:lang w:bidi="en-US"/>
        </w:rPr>
        <w:t>2016</w:t>
      </w:r>
      <w:r w:rsidRPr="00477843">
        <w:rPr>
          <w:rFonts w:hint="eastAsia"/>
          <w:lang w:bidi="en-US"/>
        </w:rPr>
        <w:t>年基本持平。</w:t>
      </w:r>
      <w:r w:rsidR="00A45CA1">
        <w:rPr>
          <w:rFonts w:hint="eastAsia"/>
          <w:lang w:bidi="en-US"/>
        </w:rPr>
        <w:t>因此整体来看，在去杠杆和债务过高的大背景下，不宜过分乐观地预期基建投资对于宏观经济增速的支撑作用。</w:t>
      </w:r>
    </w:p>
    <w:p w:rsidR="00203696" w:rsidRDefault="00203696" w:rsidP="00D775FA">
      <w:pPr>
        <w:spacing w:before="312" w:after="312"/>
        <w:rPr>
          <w:lang w:bidi="en-US"/>
        </w:rPr>
      </w:pPr>
      <w:r>
        <w:rPr>
          <w:rFonts w:hint="eastAsia"/>
          <w:lang w:bidi="en-US"/>
        </w:rPr>
        <w:t>2016</w:t>
      </w:r>
      <w:r>
        <w:rPr>
          <w:rFonts w:hint="eastAsia"/>
          <w:lang w:bidi="en-US"/>
        </w:rPr>
        <w:t>年供给侧改革造就了大宗商品的大牛市。但目前市场较为关心的上游涨价能否传导至中下游。去年一年</w:t>
      </w:r>
      <w:r>
        <w:rPr>
          <w:rFonts w:hint="eastAsia"/>
          <w:lang w:bidi="en-US"/>
        </w:rPr>
        <w:t>PPI</w:t>
      </w:r>
      <w:r>
        <w:rPr>
          <w:rFonts w:hint="eastAsia"/>
          <w:lang w:bidi="en-US"/>
        </w:rPr>
        <w:t>大幅反弹至正增长，而</w:t>
      </w:r>
      <w:r>
        <w:rPr>
          <w:rFonts w:hint="eastAsia"/>
          <w:lang w:bidi="en-US"/>
        </w:rPr>
        <w:t>CPI</w:t>
      </w:r>
      <w:r>
        <w:rPr>
          <w:rFonts w:hint="eastAsia"/>
          <w:lang w:bidi="en-US"/>
        </w:rPr>
        <w:t>却没有跟进。</w:t>
      </w:r>
      <w:r w:rsidR="00414545">
        <w:rPr>
          <w:rFonts w:hint="eastAsia"/>
          <w:lang w:bidi="en-US"/>
        </w:rPr>
        <w:t>上游由于供给侧改革导致供给收缩价格上涨并传导至中游，但下游需求要能够启动才能承接中游的涨价。目前来看，除了行业度集中较高，议价能力较强的部分行业出现涨价，整个下游并没有出现大幅涨价，这也是</w:t>
      </w:r>
      <w:r w:rsidR="00414545">
        <w:rPr>
          <w:rFonts w:hint="eastAsia"/>
          <w:lang w:bidi="en-US"/>
        </w:rPr>
        <w:t>CPI</w:t>
      </w:r>
      <w:r w:rsidR="00414545">
        <w:rPr>
          <w:rFonts w:hint="eastAsia"/>
          <w:lang w:bidi="en-US"/>
        </w:rPr>
        <w:t>并没有大幅飙升的主要原因。</w:t>
      </w:r>
    </w:p>
    <w:p w:rsidR="00414545" w:rsidRDefault="00414545" w:rsidP="00D775FA">
      <w:pPr>
        <w:spacing w:before="312" w:after="312"/>
        <w:rPr>
          <w:lang w:bidi="en-US"/>
        </w:rPr>
      </w:pPr>
      <w:r>
        <w:rPr>
          <w:rFonts w:hint="eastAsia"/>
          <w:lang w:bidi="en-US"/>
        </w:rPr>
        <w:t>综上所述，房地产投资持续下滑以及基建无法大幅增加使得未来宏观经济还是处于“</w:t>
      </w:r>
      <w:r>
        <w:rPr>
          <w:rFonts w:hint="eastAsia"/>
          <w:lang w:bidi="en-US"/>
        </w:rPr>
        <w:t>L</w:t>
      </w:r>
      <w:r>
        <w:rPr>
          <w:rFonts w:hint="eastAsia"/>
          <w:lang w:bidi="en-US"/>
        </w:rPr>
        <w:t>”型增速的“一横”阶段，经济增速将继续缓慢的萎缩。只不过由于去年供给侧改革取得了一定的成绩使得市场部分投资者的预期再度乐观起来。但我们认为不宜过分乐观，目前中国宏观经济还是处于转型期，制造业转型和消费升级没有进入量变到质变的阶段，但是由于体量巨大，因此经济增速也不会出现突然下滑。</w:t>
      </w:r>
      <w:r w:rsidR="00B6192F">
        <w:rPr>
          <w:rFonts w:hint="eastAsia"/>
          <w:lang w:bidi="en-US"/>
        </w:rPr>
        <w:t>因此预计</w:t>
      </w:r>
      <w:r w:rsidR="00B6192F">
        <w:rPr>
          <w:rFonts w:hint="eastAsia"/>
          <w:lang w:bidi="en-US"/>
        </w:rPr>
        <w:t>2017</w:t>
      </w:r>
      <w:r w:rsidR="00B6192F">
        <w:rPr>
          <w:rFonts w:hint="eastAsia"/>
          <w:lang w:bidi="en-US"/>
        </w:rPr>
        <w:t>年即将来临的开工旺季将明显弱于</w:t>
      </w:r>
      <w:r w:rsidR="00B6192F">
        <w:rPr>
          <w:rFonts w:hint="eastAsia"/>
          <w:lang w:bidi="en-US"/>
        </w:rPr>
        <w:t>2016</w:t>
      </w:r>
      <w:r w:rsidR="00B6192F">
        <w:rPr>
          <w:rFonts w:hint="eastAsia"/>
          <w:lang w:bidi="en-US"/>
        </w:rPr>
        <w:t>年同期，但也不会出现明显的断崖式下滑。</w:t>
      </w:r>
    </w:p>
    <w:p w:rsidR="001C44A4" w:rsidRDefault="001C44A4" w:rsidP="00D775FA">
      <w:pPr>
        <w:spacing w:before="312" w:after="312"/>
        <w:rPr>
          <w:lang w:bidi="en-US"/>
        </w:rPr>
      </w:pPr>
    </w:p>
    <w:p w:rsidR="001C44A4" w:rsidRDefault="001C44A4" w:rsidP="00D775FA">
      <w:pPr>
        <w:spacing w:before="312" w:after="312"/>
        <w:rPr>
          <w:lang w:bidi="en-US"/>
        </w:rPr>
      </w:pPr>
    </w:p>
    <w:p w:rsidR="001C44A4" w:rsidRDefault="001C44A4" w:rsidP="00D775FA">
      <w:pPr>
        <w:spacing w:before="312" w:after="312"/>
        <w:rPr>
          <w:lang w:bidi="en-US"/>
        </w:rPr>
      </w:pPr>
    </w:p>
    <w:p w:rsidR="00C256F1" w:rsidRDefault="00C256F1" w:rsidP="00D775FA">
      <w:pPr>
        <w:spacing w:before="312" w:after="312"/>
        <w:rPr>
          <w:lang w:bidi="en-US"/>
        </w:rPr>
      </w:pPr>
    </w:p>
    <w:p w:rsidR="00C256F1" w:rsidRDefault="00C256F1" w:rsidP="00D775FA">
      <w:pPr>
        <w:spacing w:before="312" w:after="312"/>
        <w:rPr>
          <w:lang w:bidi="en-US"/>
        </w:rPr>
      </w:pPr>
    </w:p>
    <w:p w:rsidR="000236A3" w:rsidRDefault="000236A3" w:rsidP="00D775FA">
      <w:pPr>
        <w:spacing w:before="312" w:after="312"/>
        <w:rPr>
          <w:lang w:bidi="en-US"/>
        </w:rPr>
      </w:pPr>
    </w:p>
    <w:p w:rsidR="000236A3" w:rsidRPr="00D775FA" w:rsidRDefault="000236A3" w:rsidP="00D775FA">
      <w:pPr>
        <w:spacing w:before="312" w:after="312"/>
        <w:rPr>
          <w:lang w:bidi="en-US"/>
        </w:rPr>
      </w:pPr>
    </w:p>
    <w:p w:rsidR="00AE48B6" w:rsidRPr="008B4320" w:rsidRDefault="00C42691" w:rsidP="00CA41DF">
      <w:pPr>
        <w:pStyle w:val="2"/>
        <w:spacing w:before="312" w:after="312"/>
        <w:rPr>
          <w:rFonts w:asciiTheme="majorEastAsia" w:hAnsiTheme="majorEastAsia"/>
          <w:szCs w:val="21"/>
          <w:lang w:bidi="en-US"/>
        </w:rPr>
      </w:pPr>
      <w:r w:rsidRPr="005D54A0">
        <w:rPr>
          <w:rFonts w:asciiTheme="majorEastAsia" w:hAnsiTheme="majorEastAsia" w:hint="eastAsia"/>
          <w:szCs w:val="21"/>
          <w:lang w:bidi="en-US"/>
        </w:rPr>
        <w:lastRenderedPageBreak/>
        <w:t>四</w:t>
      </w:r>
      <w:r w:rsidR="00BA6DF7" w:rsidRPr="005D54A0">
        <w:rPr>
          <w:rFonts w:asciiTheme="majorEastAsia" w:hAnsiTheme="majorEastAsia" w:hint="eastAsia"/>
          <w:szCs w:val="21"/>
          <w:lang w:bidi="en-US"/>
        </w:rPr>
        <w:t>、</w:t>
      </w:r>
      <w:bookmarkEnd w:id="0"/>
      <w:r w:rsidR="00372F9F" w:rsidRPr="00372F9F">
        <w:rPr>
          <w:rFonts w:asciiTheme="majorEastAsia" w:hAnsiTheme="majorEastAsia" w:hint="eastAsia"/>
          <w:szCs w:val="21"/>
          <w:lang w:bidi="en-US"/>
        </w:rPr>
        <w:t>技术分析</w:t>
      </w:r>
      <w:r w:rsidR="00E2743D">
        <w:rPr>
          <w:rFonts w:asciiTheme="majorEastAsia" w:hAnsiTheme="majorEastAsia" w:hint="eastAsia"/>
          <w:szCs w:val="21"/>
          <w:lang w:bidi="en-US"/>
        </w:rPr>
        <w:t>：</w:t>
      </w:r>
      <w:r w:rsidR="008B4320">
        <w:rPr>
          <w:rFonts w:asciiTheme="majorEastAsia" w:hAnsiTheme="majorEastAsia" w:hint="eastAsia"/>
          <w:szCs w:val="21"/>
          <w:lang w:bidi="en-US"/>
        </w:rPr>
        <w:t>主板稳步上行，中小创V型反弹</w:t>
      </w:r>
    </w:p>
    <w:p w:rsidR="00C256F1" w:rsidRDefault="00C256F1" w:rsidP="00C256F1">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10</w:t>
      </w:r>
      <w:r w:rsidR="00593347">
        <w:fldChar w:fldCharType="end"/>
      </w:r>
      <w:r>
        <w:rPr>
          <w:rFonts w:hint="eastAsia"/>
        </w:rPr>
        <w:t>：上证综指走势图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256F1" w:rsidTr="00C256F1">
        <w:trPr>
          <w:cantSplit/>
          <w:trHeight w:val="3632"/>
        </w:trPr>
        <w:tc>
          <w:tcPr>
            <w:tcW w:w="7416" w:type="dxa"/>
          </w:tcPr>
          <w:p w:rsidR="00C256F1" w:rsidRDefault="003C6DBB" w:rsidP="00D472C8">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3437" cy="2331308"/>
                  <wp:effectExtent l="19050" t="0" r="1913"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704080" cy="2331627"/>
                          </a:xfrm>
                          <a:prstGeom prst="rect">
                            <a:avLst/>
                          </a:prstGeom>
                          <a:noFill/>
                          <a:ln w="9525">
                            <a:noFill/>
                            <a:miter lim="800000"/>
                            <a:headEnd/>
                            <a:tailEnd/>
                          </a:ln>
                        </pic:spPr>
                      </pic:pic>
                    </a:graphicData>
                  </a:graphic>
                </wp:inline>
              </w:drawing>
            </w:r>
          </w:p>
        </w:tc>
      </w:tr>
      <w:tr w:rsidR="00C256F1" w:rsidTr="00D472C8">
        <w:trPr>
          <w:cantSplit/>
        </w:trPr>
        <w:tc>
          <w:tcPr>
            <w:tcW w:w="7416" w:type="dxa"/>
          </w:tcPr>
          <w:p w:rsidR="00C256F1" w:rsidRPr="00C85F13" w:rsidRDefault="00C256F1" w:rsidP="00D472C8">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597E" w:rsidRPr="00653037" w:rsidRDefault="00C256F1" w:rsidP="0069597E">
      <w:pPr>
        <w:spacing w:before="312" w:after="312"/>
        <w:rPr>
          <w:lang w:bidi="en-US"/>
        </w:rPr>
      </w:pPr>
      <w:r>
        <w:rPr>
          <w:rFonts w:hint="eastAsia"/>
          <w:lang w:bidi="en-US"/>
        </w:rPr>
        <w:t>上证指数</w:t>
      </w:r>
      <w:r w:rsidR="00801244">
        <w:rPr>
          <w:rFonts w:hint="eastAsia"/>
          <w:lang w:bidi="en-US"/>
        </w:rPr>
        <w:t>自</w:t>
      </w:r>
      <w:r w:rsidR="00801244">
        <w:rPr>
          <w:rFonts w:hint="eastAsia"/>
          <w:lang w:bidi="en-US"/>
        </w:rPr>
        <w:t>1</w:t>
      </w:r>
      <w:r w:rsidR="00801244">
        <w:rPr>
          <w:rFonts w:hint="eastAsia"/>
          <w:lang w:bidi="en-US"/>
        </w:rPr>
        <w:t>月中旬单针探底后便一路震荡向上。近一个月连续拉涨已接近</w:t>
      </w:r>
      <w:r w:rsidR="00801244">
        <w:rPr>
          <w:rFonts w:hint="eastAsia"/>
          <w:lang w:bidi="en-US"/>
        </w:rPr>
        <w:t>3300</w:t>
      </w:r>
      <w:r w:rsidR="00801244">
        <w:rPr>
          <w:rFonts w:hint="eastAsia"/>
          <w:lang w:bidi="en-US"/>
        </w:rPr>
        <w:t>点整数关口，而且从日</w:t>
      </w:r>
      <w:r w:rsidR="00801244">
        <w:rPr>
          <w:rFonts w:hint="eastAsia"/>
          <w:lang w:bidi="en-US"/>
        </w:rPr>
        <w:t>K</w:t>
      </w:r>
      <w:r w:rsidR="00801244">
        <w:rPr>
          <w:rFonts w:hint="eastAsia"/>
          <w:lang w:bidi="en-US"/>
        </w:rPr>
        <w:t>线来看，并没有出现连续拉升的大阳线，几次回调和宽幅震荡也释放了不少的抛压盘，使得指数走势较为健康。中小创风向标创业板指则更为强劲，走出了</w:t>
      </w:r>
      <w:r w:rsidR="00801244">
        <w:rPr>
          <w:rFonts w:hint="eastAsia"/>
          <w:lang w:bidi="en-US"/>
        </w:rPr>
        <w:t>V</w:t>
      </w:r>
      <w:r w:rsidR="00801244">
        <w:rPr>
          <w:rFonts w:hint="eastAsia"/>
          <w:lang w:bidi="en-US"/>
        </w:rPr>
        <w:t>型反弹的走势。</w:t>
      </w:r>
      <w:r w:rsidR="00801244">
        <w:rPr>
          <w:rFonts w:hint="eastAsia"/>
          <w:lang w:bidi="en-US"/>
        </w:rPr>
        <w:t>2</w:t>
      </w:r>
      <w:r w:rsidR="00801244">
        <w:rPr>
          <w:rFonts w:hint="eastAsia"/>
          <w:lang w:bidi="en-US"/>
        </w:rPr>
        <w:t>月整个股市并没有出现太明显的二八分化，中小创率先反弹，而在其调整的阶段，权重股强势拉升，接过上涨接力棒。</w:t>
      </w:r>
      <w:r w:rsidR="00653037">
        <w:rPr>
          <w:rFonts w:hint="eastAsia"/>
          <w:lang w:bidi="en-US"/>
        </w:rPr>
        <w:t>而中小创筹码充分交换后再度接力上行。从走势看，上证指数经过近</w:t>
      </w:r>
      <w:r w:rsidR="00653037">
        <w:rPr>
          <w:rFonts w:hint="eastAsia"/>
          <w:lang w:bidi="en-US"/>
        </w:rPr>
        <w:t>3</w:t>
      </w:r>
      <w:r w:rsidR="00653037">
        <w:rPr>
          <w:rFonts w:hint="eastAsia"/>
          <w:lang w:bidi="en-US"/>
        </w:rPr>
        <w:t>个月的圆弧形态调整后再度上行，预计突破</w:t>
      </w:r>
      <w:r w:rsidR="00653037">
        <w:rPr>
          <w:rFonts w:hint="eastAsia"/>
          <w:lang w:bidi="en-US"/>
        </w:rPr>
        <w:t>3300</w:t>
      </w:r>
      <w:r w:rsidR="00653037">
        <w:rPr>
          <w:rFonts w:hint="eastAsia"/>
          <w:lang w:bidi="en-US"/>
        </w:rPr>
        <w:t>点势在必行。但上方</w:t>
      </w:r>
      <w:r w:rsidR="00653037">
        <w:rPr>
          <w:rFonts w:hint="eastAsia"/>
          <w:lang w:bidi="en-US"/>
        </w:rPr>
        <w:t>3500</w:t>
      </w:r>
      <w:r w:rsidR="00653037">
        <w:rPr>
          <w:rFonts w:hint="eastAsia"/>
          <w:lang w:bidi="en-US"/>
        </w:rPr>
        <w:t>至</w:t>
      </w:r>
      <w:r w:rsidR="00653037">
        <w:rPr>
          <w:rFonts w:hint="eastAsia"/>
          <w:lang w:bidi="en-US"/>
        </w:rPr>
        <w:t>3600</w:t>
      </w:r>
      <w:r w:rsidR="00653037">
        <w:rPr>
          <w:rFonts w:hint="eastAsia"/>
          <w:lang w:bidi="en-US"/>
        </w:rPr>
        <w:t>点压力重重，难以突破。创业板指虽然反弹力度较大，但这也主要是去年年末大幅暴跌引发的强劲反弹。预计创业板指后市反弹至多回到</w:t>
      </w:r>
      <w:r w:rsidR="00653037">
        <w:rPr>
          <w:rFonts w:hint="eastAsia"/>
          <w:lang w:bidi="en-US"/>
        </w:rPr>
        <w:t>1900</w:t>
      </w:r>
      <w:r w:rsidR="00653037">
        <w:rPr>
          <w:rFonts w:hint="eastAsia"/>
          <w:lang w:bidi="en-US"/>
        </w:rPr>
        <w:t>点的平台。</w:t>
      </w:r>
    </w:p>
    <w:p w:rsidR="008D7217" w:rsidRDefault="008D7217" w:rsidP="008D7217">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11</w:t>
      </w:r>
      <w:r w:rsidR="00593347">
        <w:fldChar w:fldCharType="end"/>
      </w:r>
      <w:r>
        <w:rPr>
          <w:rFonts w:hint="eastAsia"/>
        </w:rPr>
        <w:t>：创业板指走势图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D7217" w:rsidTr="00D472C8">
        <w:trPr>
          <w:cantSplit/>
          <w:trHeight w:val="3632"/>
        </w:trPr>
        <w:tc>
          <w:tcPr>
            <w:tcW w:w="7416" w:type="dxa"/>
          </w:tcPr>
          <w:p w:rsidR="008D7217" w:rsidRDefault="003C6DBB" w:rsidP="00D472C8">
            <w:pPr>
              <w:widowControl/>
              <w:spacing w:beforeLines="0" w:afterLines="0" w:line="240" w:lineRule="auto"/>
              <w:jc w:val="left"/>
              <w:rPr>
                <w:rFonts w:ascii="宋体" w:hAnsi="宋体"/>
                <w:bCs/>
                <w:szCs w:val="21"/>
                <w:lang w:bidi="en-US"/>
              </w:rPr>
            </w:pPr>
            <w:r>
              <w:rPr>
                <w:rFonts w:ascii="宋体" w:hAnsi="宋体"/>
                <w:bCs/>
                <w:noProof/>
                <w:szCs w:val="21"/>
              </w:rPr>
              <w:drawing>
                <wp:anchor distT="0" distB="0" distL="114300" distR="114300" simplePos="0" relativeHeight="251710464" behindDoc="0" locked="0" layoutInCell="1" allowOverlap="1">
                  <wp:simplePos x="0" y="0"/>
                  <wp:positionH relativeFrom="column">
                    <wp:posOffset>17094</wp:posOffset>
                  </wp:positionH>
                  <wp:positionV relativeFrom="paragraph">
                    <wp:posOffset>5853</wp:posOffset>
                  </wp:positionV>
                  <wp:extent cx="4708198" cy="2273644"/>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708198" cy="2273644"/>
                          </a:xfrm>
                          <a:prstGeom prst="rect">
                            <a:avLst/>
                          </a:prstGeom>
                          <a:noFill/>
                          <a:ln w="9525">
                            <a:noFill/>
                            <a:miter lim="800000"/>
                            <a:headEnd/>
                            <a:tailEnd/>
                          </a:ln>
                        </pic:spPr>
                      </pic:pic>
                    </a:graphicData>
                  </a:graphic>
                </wp:anchor>
              </w:drawing>
            </w:r>
          </w:p>
        </w:tc>
      </w:tr>
      <w:tr w:rsidR="008D7217" w:rsidTr="00D472C8">
        <w:trPr>
          <w:cantSplit/>
        </w:trPr>
        <w:tc>
          <w:tcPr>
            <w:tcW w:w="7416" w:type="dxa"/>
          </w:tcPr>
          <w:p w:rsidR="008D7217" w:rsidRPr="00C85F13" w:rsidRDefault="008D7217" w:rsidP="00D472C8">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597E" w:rsidRPr="008D7217" w:rsidRDefault="0069597E" w:rsidP="0069597E">
      <w:pPr>
        <w:spacing w:before="312" w:after="312"/>
        <w:rPr>
          <w:lang w:bidi="en-US"/>
        </w:rPr>
      </w:pPr>
    </w:p>
    <w:p w:rsidR="00CB7EB9" w:rsidRDefault="00CB7EB9" w:rsidP="0069597E">
      <w:pPr>
        <w:pStyle w:val="2"/>
        <w:spacing w:before="312" w:after="312"/>
        <w:rPr>
          <w:lang w:bidi="en-US"/>
        </w:rPr>
      </w:pPr>
      <w:r>
        <w:rPr>
          <w:lang w:bidi="en-US"/>
        </w:rPr>
        <w:t>五、</w:t>
      </w:r>
      <w:r w:rsidR="002A60EC" w:rsidRPr="002A60EC">
        <w:rPr>
          <w:rFonts w:hint="eastAsia"/>
          <w:lang w:bidi="en-US"/>
        </w:rPr>
        <w:t>未来行情展望和投资策略建议</w:t>
      </w:r>
      <w:r w:rsidR="00E2743D">
        <w:rPr>
          <w:rFonts w:hint="eastAsia"/>
          <w:lang w:bidi="en-US"/>
        </w:rPr>
        <w:t>：</w:t>
      </w:r>
      <w:r w:rsidR="007316D4">
        <w:rPr>
          <w:rFonts w:hint="eastAsia"/>
          <w:lang w:bidi="en-US"/>
        </w:rPr>
        <w:t>中证</w:t>
      </w:r>
      <w:r w:rsidR="007316D4">
        <w:rPr>
          <w:rFonts w:hint="eastAsia"/>
          <w:lang w:bidi="en-US"/>
        </w:rPr>
        <w:t>500</w:t>
      </w:r>
      <w:r w:rsidR="007316D4">
        <w:rPr>
          <w:rFonts w:hint="eastAsia"/>
          <w:lang w:bidi="en-US"/>
        </w:rPr>
        <w:t>逐步止盈，交易中心转向权重板块</w:t>
      </w:r>
    </w:p>
    <w:p w:rsidR="00CB7EB9" w:rsidRDefault="00182A33" w:rsidP="0069597E">
      <w:pPr>
        <w:spacing w:before="312" w:after="312"/>
        <w:rPr>
          <w:lang w:bidi="en-US"/>
        </w:rPr>
      </w:pPr>
      <w:r>
        <w:rPr>
          <w:rFonts w:hint="eastAsia"/>
          <w:lang w:bidi="en-US"/>
        </w:rPr>
        <w:t>整个股市从去年</w:t>
      </w:r>
      <w:r>
        <w:rPr>
          <w:rFonts w:hint="eastAsia"/>
          <w:lang w:bidi="en-US"/>
        </w:rPr>
        <w:t>6</w:t>
      </w:r>
      <w:r>
        <w:rPr>
          <w:rFonts w:hint="eastAsia"/>
          <w:lang w:bidi="en-US"/>
        </w:rPr>
        <w:t>月份上涨以来，二八分化现象非常明显，这也将是未来很长一段时间股市的特征。虽然近期中小创超跌反弹的力度较强，但是从长期趋势看，中小创必将有一个较漫长的去估值阶段。一方面，</w:t>
      </w:r>
      <w:r>
        <w:rPr>
          <w:rFonts w:hint="eastAsia"/>
          <w:lang w:bidi="en-US"/>
        </w:rPr>
        <w:t>IPO</w:t>
      </w:r>
      <w:r>
        <w:rPr>
          <w:rFonts w:hint="eastAsia"/>
          <w:lang w:bidi="en-US"/>
        </w:rPr>
        <w:t>提速和未来注册制的推出后，小盘股资源稀缺性将不复存在，特别是年初</w:t>
      </w:r>
      <w:r>
        <w:rPr>
          <w:rFonts w:hint="eastAsia"/>
          <w:lang w:bidi="en-US"/>
        </w:rPr>
        <w:t>IPO</w:t>
      </w:r>
      <w:r>
        <w:rPr>
          <w:rFonts w:hint="eastAsia"/>
          <w:lang w:bidi="en-US"/>
        </w:rPr>
        <w:t>提速直接导致了中小创的崩盘。另一方面，证监会新出台的再融资方案大大限制了中小创的成长性。过去中小创利用再融资不断兼并收购式的外延式发展道路将受到极大地限制，神创板高增速的神话很难延续下去</w:t>
      </w:r>
      <w:r w:rsidR="00D17BC3">
        <w:rPr>
          <w:rFonts w:hint="eastAsia"/>
          <w:lang w:bidi="en-US"/>
        </w:rPr>
        <w:t>，叠加整体市场对于中小创去泡沫的预期，将形成戴维斯双杀，因此我们认为此轮中小创反弹完毕后将继续回到下行趋势中。</w:t>
      </w:r>
    </w:p>
    <w:p w:rsidR="00D17BC3" w:rsidRDefault="00AF427D" w:rsidP="0069597E">
      <w:pPr>
        <w:spacing w:before="312" w:after="312"/>
        <w:rPr>
          <w:lang w:bidi="en-US"/>
        </w:rPr>
      </w:pPr>
      <w:r>
        <w:rPr>
          <w:rFonts w:hint="eastAsia"/>
          <w:lang w:bidi="en-US"/>
        </w:rPr>
        <w:t>主板市场从去年股灾</w:t>
      </w:r>
      <w:r>
        <w:rPr>
          <w:rFonts w:hint="eastAsia"/>
          <w:lang w:bidi="en-US"/>
        </w:rPr>
        <w:t>3.0</w:t>
      </w:r>
      <w:r>
        <w:rPr>
          <w:rFonts w:hint="eastAsia"/>
          <w:lang w:bidi="en-US"/>
        </w:rPr>
        <w:t>后便开启了震荡向上的走势，这主要是由于供给侧改革的成果使得蓝筹股和周期股盈利改善。而进入</w:t>
      </w:r>
      <w:r>
        <w:rPr>
          <w:rFonts w:hint="eastAsia"/>
          <w:lang w:bidi="en-US"/>
        </w:rPr>
        <w:t>2017</w:t>
      </w:r>
      <w:r>
        <w:rPr>
          <w:rFonts w:hint="eastAsia"/>
          <w:lang w:bidi="en-US"/>
        </w:rPr>
        <w:t>年后，供给侧改革继续推进也使得这一逻辑依旧存在。虽然我们在宏观分析板块对于今年宏观经济保持谨慎的态度，但是一方面对于中国经济增速不断下行市场早已形成一致，分歧点在于是否会出现失速下滑</w:t>
      </w:r>
      <w:r w:rsidR="003D4F25">
        <w:rPr>
          <w:rFonts w:hint="eastAsia"/>
          <w:lang w:bidi="en-US"/>
        </w:rPr>
        <w:t>和系统性风险。目前来看，并没有出现类似风险的迹象。另一方面，金三</w:t>
      </w:r>
      <w:r>
        <w:rPr>
          <w:rFonts w:hint="eastAsia"/>
          <w:lang w:bidi="en-US"/>
        </w:rPr>
        <w:t>银四的工业旺季才刚刚开始，无论是证实还是证伪，都需要等到未来较长的一段时间后才能确定，因此目前市场还将沿着原有的趋势和逻辑运行。</w:t>
      </w:r>
    </w:p>
    <w:p w:rsidR="00AF427D" w:rsidRPr="00AF427D" w:rsidRDefault="00AF427D" w:rsidP="0069597E">
      <w:pPr>
        <w:spacing w:before="312" w:after="312"/>
        <w:rPr>
          <w:lang w:bidi="en-US"/>
        </w:rPr>
      </w:pPr>
      <w:r>
        <w:rPr>
          <w:rFonts w:hint="eastAsia"/>
          <w:lang w:bidi="en-US"/>
        </w:rPr>
        <w:t>从操作的角度看，之前建议投资者抄底的中证</w:t>
      </w:r>
      <w:r>
        <w:rPr>
          <w:rFonts w:hint="eastAsia"/>
          <w:lang w:bidi="en-US"/>
        </w:rPr>
        <w:t>500</w:t>
      </w:r>
      <w:r>
        <w:rPr>
          <w:rFonts w:hint="eastAsia"/>
          <w:lang w:bidi="en-US"/>
        </w:rPr>
        <w:t>期指已经有较为丰厚的盈利，在目前点位已经可以开始逐步兑现利润，并将做多重心转移至上证</w:t>
      </w:r>
      <w:r>
        <w:rPr>
          <w:rFonts w:hint="eastAsia"/>
          <w:lang w:bidi="en-US"/>
        </w:rPr>
        <w:t>50</w:t>
      </w:r>
      <w:r>
        <w:rPr>
          <w:rFonts w:hint="eastAsia"/>
          <w:lang w:bidi="en-US"/>
        </w:rPr>
        <w:t>或者沪深</w:t>
      </w:r>
      <w:r>
        <w:rPr>
          <w:rFonts w:hint="eastAsia"/>
          <w:lang w:bidi="en-US"/>
        </w:rPr>
        <w:t>300</w:t>
      </w:r>
      <w:r>
        <w:rPr>
          <w:rFonts w:hint="eastAsia"/>
          <w:lang w:bidi="en-US"/>
        </w:rPr>
        <w:t>上。预计上证指数突破</w:t>
      </w:r>
      <w:r>
        <w:rPr>
          <w:rFonts w:hint="eastAsia"/>
          <w:lang w:bidi="en-US"/>
        </w:rPr>
        <w:t>3300</w:t>
      </w:r>
      <w:r>
        <w:rPr>
          <w:rFonts w:hint="eastAsia"/>
          <w:lang w:bidi="en-US"/>
        </w:rPr>
        <w:t>后将运行至</w:t>
      </w:r>
      <w:r>
        <w:rPr>
          <w:rFonts w:hint="eastAsia"/>
          <w:lang w:bidi="en-US"/>
        </w:rPr>
        <w:t>3400</w:t>
      </w:r>
      <w:r>
        <w:rPr>
          <w:rFonts w:hint="eastAsia"/>
          <w:lang w:bidi="en-US"/>
        </w:rPr>
        <w:t>点上方才会面临调整的压力。在此之前可坚定地持有上证</w:t>
      </w:r>
      <w:r>
        <w:rPr>
          <w:rFonts w:hint="eastAsia"/>
          <w:lang w:bidi="en-US"/>
        </w:rPr>
        <w:t>50</w:t>
      </w:r>
      <w:r>
        <w:rPr>
          <w:rFonts w:hint="eastAsia"/>
          <w:lang w:bidi="en-US"/>
        </w:rPr>
        <w:t>或者沪深</w:t>
      </w:r>
      <w:r>
        <w:rPr>
          <w:rFonts w:hint="eastAsia"/>
          <w:lang w:bidi="en-US"/>
        </w:rPr>
        <w:t>300</w:t>
      </w:r>
      <w:r>
        <w:rPr>
          <w:rFonts w:hint="eastAsia"/>
          <w:lang w:bidi="en-US"/>
        </w:rPr>
        <w:t>期指多单。</w:t>
      </w:r>
    </w:p>
    <w:p w:rsidR="00AE48B6" w:rsidRPr="00A71605" w:rsidRDefault="00C256F1" w:rsidP="00A71605">
      <w:pPr>
        <w:pStyle w:val="2"/>
        <w:spacing w:before="312" w:after="312"/>
        <w:rPr>
          <w:rFonts w:asciiTheme="majorEastAsia" w:hAnsiTheme="majorEastAsia"/>
          <w:szCs w:val="21"/>
          <w:lang w:bidi="en-US"/>
        </w:rPr>
      </w:pPr>
      <w:r>
        <w:rPr>
          <w:rFonts w:asciiTheme="majorEastAsia" w:hAnsiTheme="majorEastAsia" w:hint="eastAsia"/>
          <w:szCs w:val="21"/>
          <w:lang w:bidi="en-US"/>
        </w:rPr>
        <w:t>六</w:t>
      </w:r>
      <w:r w:rsidR="00AE48B6" w:rsidRPr="005D54A0">
        <w:rPr>
          <w:rFonts w:asciiTheme="majorEastAsia" w:hAnsiTheme="majorEastAsia"/>
          <w:szCs w:val="21"/>
          <w:lang w:bidi="en-US"/>
        </w:rPr>
        <w:t>、风险分析</w:t>
      </w:r>
    </w:p>
    <w:p w:rsidR="00A71605" w:rsidRDefault="00E3098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AE48B6" w:rsidRP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CC5C91">
        <w:rPr>
          <w:rFonts w:asciiTheme="majorEastAsia" w:eastAsiaTheme="majorEastAsia" w:hAnsiTheme="majorEastAsia" w:hint="eastAsia"/>
          <w:bCs/>
          <w:szCs w:val="21"/>
          <w:lang w:bidi="en-US"/>
        </w:rPr>
        <w:t>需求严重不足，导致市场预期突然转向</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091B09">
        <w:rPr>
          <w:rFonts w:asciiTheme="majorEastAsia" w:eastAsiaTheme="majorEastAsia" w:hAnsiTheme="majorEastAsia" w:hint="eastAsia"/>
          <w:bCs/>
          <w:szCs w:val="21"/>
          <w:lang w:bidi="en-US"/>
        </w:rPr>
        <w:t>中小创反弹终结，抛售压力引发大跳水并拖累主板</w:t>
      </w:r>
      <w:bookmarkStart w:id="1" w:name="_GoBack"/>
      <w:bookmarkEnd w:id="1"/>
    </w:p>
    <w:p w:rsidR="00A83340" w:rsidRDefault="00A83340"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3</w:t>
      </w:r>
      <w:r>
        <w:rPr>
          <w:rFonts w:asciiTheme="majorEastAsia" w:eastAsiaTheme="majorEastAsia" w:hAnsiTheme="majorEastAsia"/>
          <w:bCs/>
          <w:szCs w:val="21"/>
          <w:lang w:bidi="en-US"/>
        </w:rPr>
        <w:t>）</w:t>
      </w:r>
      <w:r w:rsidR="00AF1726">
        <w:rPr>
          <w:rFonts w:asciiTheme="majorEastAsia" w:eastAsiaTheme="majorEastAsia" w:hAnsiTheme="majorEastAsia" w:hint="eastAsia"/>
          <w:bCs/>
          <w:szCs w:val="21"/>
          <w:lang w:bidi="en-US"/>
        </w:rPr>
        <w:t>IPO继续大幅提速，使得打新收益继续大幅下降</w:t>
      </w:r>
    </w:p>
    <w:p w:rsidR="00692620" w:rsidRPr="00A42A82" w:rsidRDefault="00692620" w:rsidP="00692620">
      <w:pPr>
        <w:tabs>
          <w:tab w:val="left" w:pos="1946"/>
        </w:tabs>
        <w:spacing w:before="312" w:after="312"/>
        <w:ind w:leftChars="472" w:left="991"/>
        <w:rPr>
          <w:rFonts w:ascii="黑体" w:eastAsia="黑体" w:hAnsi="黑体"/>
          <w:sz w:val="32"/>
          <w:szCs w:val="36"/>
        </w:rPr>
      </w:pPr>
      <w:r>
        <w:rPr>
          <w:rFonts w:ascii="黑体" w:eastAsia="黑体" w:hAnsi="黑体" w:hint="eastAsia"/>
          <w:noProof/>
          <w:sz w:val="32"/>
          <w:szCs w:val="36"/>
        </w:rPr>
        <w:lastRenderedPageBreak/>
        <w:t>国债</w:t>
      </w:r>
      <w:r w:rsidRPr="00A42A82">
        <w:rPr>
          <w:rFonts w:ascii="黑体" w:eastAsia="黑体" w:hAnsi="黑体" w:hint="eastAsia"/>
          <w:noProof/>
          <w:sz w:val="32"/>
          <w:szCs w:val="36"/>
        </w:rPr>
        <w:t>期货：</w:t>
      </w:r>
      <w:r w:rsidR="00885DAF">
        <w:rPr>
          <w:rFonts w:ascii="黑体" w:eastAsia="黑体" w:hAnsi="黑体" w:hint="eastAsia"/>
          <w:noProof/>
          <w:sz w:val="32"/>
          <w:szCs w:val="36"/>
        </w:rPr>
        <w:t>期债反弹过猛，建议逢高做空</w:t>
      </w:r>
    </w:p>
    <w:p w:rsidR="00692620" w:rsidRPr="009A53B9" w:rsidRDefault="00692620" w:rsidP="00692620">
      <w:pPr>
        <w:pStyle w:val="af1"/>
      </w:pPr>
      <w:r>
        <w:t>摘要</w:t>
      </w:r>
    </w:p>
    <w:p w:rsidR="00CE694A" w:rsidRDefault="00CE694A" w:rsidP="00CE694A">
      <w:pPr>
        <w:pStyle w:val="af"/>
        <w:numPr>
          <w:ilvl w:val="0"/>
          <w:numId w:val="1"/>
        </w:numPr>
        <w:spacing w:before="312" w:after="312"/>
        <w:ind w:firstLineChars="0"/>
      </w:pPr>
      <w:r w:rsidRPr="00CE694A">
        <w:rPr>
          <w:rFonts w:hint="eastAsia"/>
        </w:rPr>
        <w:t>春节错位导致物价上行，未来高通胀风险有限</w:t>
      </w:r>
    </w:p>
    <w:p w:rsidR="00692620" w:rsidRDefault="00CC5C91" w:rsidP="00CC5C91">
      <w:pPr>
        <w:pStyle w:val="af"/>
        <w:numPr>
          <w:ilvl w:val="0"/>
          <w:numId w:val="1"/>
        </w:numPr>
        <w:spacing w:before="312" w:after="312"/>
        <w:ind w:firstLineChars="0"/>
      </w:pPr>
      <w:r w:rsidRPr="00CC5C91">
        <w:rPr>
          <w:rFonts w:hint="eastAsia"/>
        </w:rPr>
        <w:t>央行密集变相加息，债券市场恐慌情绪集中释放</w:t>
      </w:r>
    </w:p>
    <w:p w:rsidR="00CC5C91" w:rsidRDefault="00CC5C91" w:rsidP="00CC5C91">
      <w:pPr>
        <w:pStyle w:val="af"/>
        <w:numPr>
          <w:ilvl w:val="0"/>
          <w:numId w:val="1"/>
        </w:numPr>
        <w:spacing w:before="312" w:after="312"/>
        <w:ind w:firstLineChars="0"/>
      </w:pPr>
      <w:r w:rsidRPr="00CC5C91">
        <w:rPr>
          <w:rFonts w:hint="eastAsia"/>
        </w:rPr>
        <w:t>货币政策工具圈定利率波动空间</w:t>
      </w:r>
    </w:p>
    <w:p w:rsidR="00692620" w:rsidRDefault="00CC5C91" w:rsidP="00CC5C91">
      <w:pPr>
        <w:pStyle w:val="af"/>
        <w:numPr>
          <w:ilvl w:val="0"/>
          <w:numId w:val="1"/>
        </w:numPr>
        <w:spacing w:before="312" w:after="312"/>
        <w:ind w:firstLineChars="0"/>
      </w:pPr>
      <w:r w:rsidRPr="00CC5C91">
        <w:rPr>
          <w:rFonts w:hint="eastAsia"/>
        </w:rPr>
        <w:t>期债反弹力度过猛，逐渐接近上方压力位</w:t>
      </w:r>
    </w:p>
    <w:p w:rsidR="00692620" w:rsidRDefault="00692620" w:rsidP="00692620">
      <w:pPr>
        <w:pStyle w:val="af2"/>
      </w:pPr>
    </w:p>
    <w:p w:rsidR="00692620" w:rsidRPr="00A83340" w:rsidRDefault="00692620" w:rsidP="00692620">
      <w:pPr>
        <w:pStyle w:val="af2"/>
      </w:pPr>
      <w:r w:rsidRPr="00A83340">
        <w:t>操作策略</w:t>
      </w:r>
    </w:p>
    <w:p w:rsidR="00692620" w:rsidRDefault="00CC5C91" w:rsidP="00CC5C91">
      <w:pPr>
        <w:pStyle w:val="af"/>
        <w:numPr>
          <w:ilvl w:val="0"/>
          <w:numId w:val="2"/>
        </w:numPr>
        <w:spacing w:before="312" w:after="312"/>
        <w:ind w:firstLineChars="0"/>
      </w:pPr>
      <w:r w:rsidRPr="00CC5C91">
        <w:rPr>
          <w:rFonts w:hint="eastAsia"/>
          <w:lang w:bidi="en-US"/>
        </w:rPr>
        <w:t>逢高做空期债</w:t>
      </w: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Pr="005D54A0" w:rsidRDefault="00692620" w:rsidP="00692620">
      <w:pPr>
        <w:pStyle w:val="2"/>
        <w:tabs>
          <w:tab w:val="left" w:pos="3165"/>
        </w:tabs>
        <w:spacing w:before="312" w:after="312"/>
      </w:pPr>
      <w:r w:rsidRPr="005D54A0">
        <w:lastRenderedPageBreak/>
        <w:t>一、</w:t>
      </w:r>
      <w:r w:rsidR="00885DAF">
        <w:rPr>
          <w:rFonts w:hint="eastAsia"/>
        </w:rPr>
        <w:t>2</w:t>
      </w:r>
      <w:r>
        <w:rPr>
          <w:rFonts w:hint="eastAsia"/>
        </w:rPr>
        <w:t>月</w:t>
      </w:r>
      <w:r w:rsidRPr="005D54A0">
        <w:t>行情回顾</w:t>
      </w:r>
      <w:r>
        <w:rPr>
          <w:rFonts w:hint="eastAsia"/>
        </w:rPr>
        <w:t>:</w:t>
      </w:r>
      <w:r w:rsidR="0063712E">
        <w:rPr>
          <w:rFonts w:hint="eastAsia"/>
        </w:rPr>
        <w:t>期债</w:t>
      </w:r>
      <w:r w:rsidR="00885DAF">
        <w:rPr>
          <w:rFonts w:hint="eastAsia"/>
        </w:rPr>
        <w:t>二次探底，强劲反弹</w:t>
      </w:r>
    </w:p>
    <w:p w:rsidR="00692620" w:rsidRPr="0063712E" w:rsidRDefault="0063712E" w:rsidP="00692620">
      <w:pPr>
        <w:spacing w:before="312" w:after="312"/>
      </w:pPr>
      <w:r w:rsidRPr="0063712E">
        <w:rPr>
          <w:rFonts w:hint="eastAsia"/>
        </w:rPr>
        <w:t>五年期国债期货主力合约</w:t>
      </w:r>
      <w:r w:rsidR="003075D7" w:rsidRPr="0063712E">
        <w:rPr>
          <w:rFonts w:hint="eastAsia"/>
        </w:rPr>
        <w:t>从</w:t>
      </w:r>
      <w:r w:rsidR="003075D7">
        <w:rPr>
          <w:rFonts w:hint="eastAsia"/>
        </w:rPr>
        <w:t>2</w:t>
      </w:r>
      <w:r w:rsidR="003075D7" w:rsidRPr="0063712E">
        <w:rPr>
          <w:rFonts w:hint="eastAsia"/>
        </w:rPr>
        <w:t>月</w:t>
      </w:r>
      <w:r w:rsidR="003075D7" w:rsidRPr="0063712E">
        <w:rPr>
          <w:rFonts w:hint="eastAsia"/>
        </w:rPr>
        <w:t>3</w:t>
      </w:r>
      <w:r w:rsidR="003075D7" w:rsidRPr="0063712E">
        <w:rPr>
          <w:rFonts w:hint="eastAsia"/>
        </w:rPr>
        <w:t>日</w:t>
      </w:r>
      <w:r w:rsidR="003075D7" w:rsidRPr="00885DAF">
        <w:t>97.88</w:t>
      </w:r>
      <w:r w:rsidR="003075D7" w:rsidRPr="0063712E">
        <w:rPr>
          <w:rFonts w:hint="eastAsia"/>
        </w:rPr>
        <w:t>元开盘，至</w:t>
      </w:r>
      <w:r w:rsidR="003075D7">
        <w:rPr>
          <w:rFonts w:hint="eastAsia"/>
        </w:rPr>
        <w:t>2</w:t>
      </w:r>
      <w:r w:rsidR="003075D7" w:rsidRPr="0063712E">
        <w:rPr>
          <w:rFonts w:hint="eastAsia"/>
        </w:rPr>
        <w:t>月</w:t>
      </w:r>
      <w:r w:rsidR="003075D7">
        <w:rPr>
          <w:rFonts w:hint="eastAsia"/>
        </w:rPr>
        <w:t>24</w:t>
      </w:r>
      <w:r w:rsidR="003075D7" w:rsidRPr="0063712E">
        <w:rPr>
          <w:rFonts w:hint="eastAsia"/>
        </w:rPr>
        <w:t>日收盘于</w:t>
      </w:r>
      <w:r w:rsidR="003075D7" w:rsidRPr="00885DAF">
        <w:t>98.795</w:t>
      </w:r>
      <w:r w:rsidR="003075D7" w:rsidRPr="0063712E">
        <w:rPr>
          <w:rFonts w:hint="eastAsia"/>
        </w:rPr>
        <w:t>元，共累计</w:t>
      </w:r>
      <w:r w:rsidR="003075D7">
        <w:rPr>
          <w:rFonts w:hint="eastAsia"/>
        </w:rPr>
        <w:t>上涨</w:t>
      </w:r>
      <w:r w:rsidR="003075D7">
        <w:rPr>
          <w:rFonts w:hint="eastAsia"/>
        </w:rPr>
        <w:t>0.93</w:t>
      </w:r>
      <w:r w:rsidR="003075D7" w:rsidRPr="0063712E">
        <w:rPr>
          <w:rFonts w:hint="eastAsia"/>
        </w:rPr>
        <w:t>%</w:t>
      </w:r>
      <w:r w:rsidR="003075D7" w:rsidRPr="0063712E">
        <w:rPr>
          <w:rFonts w:hint="eastAsia"/>
        </w:rPr>
        <w:t>。</w:t>
      </w:r>
      <w:r w:rsidRPr="0063712E">
        <w:rPr>
          <w:rFonts w:hint="eastAsia"/>
        </w:rPr>
        <w:t>十年期国债期货主力合约从</w:t>
      </w:r>
      <w:r w:rsidR="00885DAF">
        <w:rPr>
          <w:rFonts w:hint="eastAsia"/>
        </w:rPr>
        <w:t>2</w:t>
      </w:r>
      <w:r w:rsidR="00885DAF" w:rsidRPr="0063712E">
        <w:rPr>
          <w:rFonts w:hint="eastAsia"/>
        </w:rPr>
        <w:t>月</w:t>
      </w:r>
      <w:r w:rsidR="00885DAF" w:rsidRPr="0063712E">
        <w:rPr>
          <w:rFonts w:hint="eastAsia"/>
        </w:rPr>
        <w:t>3</w:t>
      </w:r>
      <w:r w:rsidR="00885DAF" w:rsidRPr="0063712E">
        <w:rPr>
          <w:rFonts w:hint="eastAsia"/>
        </w:rPr>
        <w:t>日</w:t>
      </w:r>
      <w:r w:rsidR="003075D7" w:rsidRPr="003075D7">
        <w:t>94.27</w:t>
      </w:r>
      <w:r w:rsidR="00885DAF" w:rsidRPr="0063712E">
        <w:rPr>
          <w:rFonts w:hint="eastAsia"/>
        </w:rPr>
        <w:t>元开盘，至</w:t>
      </w:r>
      <w:r w:rsidR="00885DAF">
        <w:rPr>
          <w:rFonts w:hint="eastAsia"/>
        </w:rPr>
        <w:t>2</w:t>
      </w:r>
      <w:r w:rsidR="00885DAF" w:rsidRPr="0063712E">
        <w:rPr>
          <w:rFonts w:hint="eastAsia"/>
        </w:rPr>
        <w:t>月</w:t>
      </w:r>
      <w:r w:rsidR="00885DAF">
        <w:rPr>
          <w:rFonts w:hint="eastAsia"/>
        </w:rPr>
        <w:t>24</w:t>
      </w:r>
      <w:r w:rsidR="00885DAF" w:rsidRPr="0063712E">
        <w:rPr>
          <w:rFonts w:hint="eastAsia"/>
        </w:rPr>
        <w:t>日</w:t>
      </w:r>
      <w:r w:rsidRPr="0063712E">
        <w:rPr>
          <w:rFonts w:hint="eastAsia"/>
        </w:rPr>
        <w:t>收盘于</w:t>
      </w:r>
      <w:r w:rsidR="003075D7" w:rsidRPr="003075D7">
        <w:t>95.655</w:t>
      </w:r>
      <w:r w:rsidRPr="0063712E">
        <w:rPr>
          <w:rFonts w:hint="eastAsia"/>
        </w:rPr>
        <w:t>元，共累计</w:t>
      </w:r>
      <w:r w:rsidR="00885DAF">
        <w:rPr>
          <w:rFonts w:hint="eastAsia"/>
        </w:rPr>
        <w:t>上涨</w:t>
      </w:r>
      <w:r w:rsidR="003075D7">
        <w:rPr>
          <w:rFonts w:hint="eastAsia"/>
        </w:rPr>
        <w:t>1.47</w:t>
      </w:r>
      <w:r w:rsidRPr="0063712E">
        <w:rPr>
          <w:rFonts w:hint="eastAsia"/>
        </w:rPr>
        <w:t>%</w:t>
      </w:r>
      <w:r w:rsidRPr="0063712E">
        <w:rPr>
          <w:rFonts w:hint="eastAsia"/>
        </w:rPr>
        <w:t>。国债期货</w:t>
      </w:r>
      <w:r w:rsidR="003075D7">
        <w:rPr>
          <w:rFonts w:hint="eastAsia"/>
        </w:rPr>
        <w:t>2</w:t>
      </w:r>
      <w:r>
        <w:rPr>
          <w:rFonts w:hint="eastAsia"/>
        </w:rPr>
        <w:t>月呈现出</w:t>
      </w:r>
      <w:r w:rsidR="003075D7">
        <w:rPr>
          <w:rFonts w:hint="eastAsia"/>
        </w:rPr>
        <w:t>探底回升，大幅反弹的走势。二月第一个交易日，由于央行变相加息导致期债大幅暴跌，但期债守住前低后，做空动能耗尽，期债强势反弹。</w:t>
      </w:r>
      <w:r w:rsidR="0099727B">
        <w:rPr>
          <w:rFonts w:hint="eastAsia"/>
        </w:rPr>
        <w:t>随着市场恐慌情绪的集中释放，现券市场也出现了回暖，从利率期限结构来看，</w:t>
      </w:r>
      <w:r w:rsidR="00E72D89">
        <w:rPr>
          <w:rFonts w:hint="eastAsia"/>
        </w:rPr>
        <w:t>随着债券牛市泡沫破裂，期限结构逐渐回到远期升水的正常状态。</w:t>
      </w:r>
    </w:p>
    <w:p w:rsidR="0063712E" w:rsidRDefault="0063712E" w:rsidP="0063712E">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12</w:t>
      </w:r>
      <w:r w:rsidR="00593347">
        <w:fldChar w:fldCharType="end"/>
      </w:r>
      <w:r>
        <w:rPr>
          <w:rFonts w:hint="eastAsia"/>
        </w:rPr>
        <w:t>：</w:t>
      </w:r>
      <w:r>
        <w:rPr>
          <w:rFonts w:hint="eastAsia"/>
        </w:rPr>
        <w:t>5</w:t>
      </w:r>
      <w:r>
        <w:rPr>
          <w:rFonts w:hint="eastAsia"/>
        </w:rPr>
        <w:t>年期和</w:t>
      </w:r>
      <w:r>
        <w:rPr>
          <w:rFonts w:hint="eastAsia"/>
        </w:rPr>
        <w:t>10</w:t>
      </w:r>
      <w:r>
        <w:rPr>
          <w:rFonts w:hint="eastAsia"/>
        </w:rPr>
        <w:t>年期国债期货走势图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63712E" w:rsidTr="002215A2">
        <w:trPr>
          <w:cantSplit/>
          <w:trHeight w:val="3632"/>
        </w:trPr>
        <w:tc>
          <w:tcPr>
            <w:tcW w:w="7416" w:type="dxa"/>
          </w:tcPr>
          <w:p w:rsidR="0063712E" w:rsidRDefault="003075D7" w:rsidP="00917A59">
            <w:pPr>
              <w:widowControl/>
              <w:spacing w:beforeLines="0" w:afterLines="0" w:line="240" w:lineRule="auto"/>
              <w:ind w:firstLineChars="50" w:firstLine="105"/>
              <w:jc w:val="left"/>
              <w:rPr>
                <w:rFonts w:ascii="宋体" w:hAnsi="宋体"/>
                <w:bCs/>
                <w:szCs w:val="21"/>
                <w:lang w:bidi="en-US"/>
              </w:rPr>
            </w:pPr>
            <w:r>
              <w:rPr>
                <w:rFonts w:ascii="宋体" w:hAnsi="宋体"/>
                <w:bCs/>
                <w:noProof/>
                <w:szCs w:val="21"/>
              </w:rPr>
              <w:drawing>
                <wp:inline distT="0" distB="0" distL="0" distR="0">
                  <wp:extent cx="4704080" cy="2677160"/>
                  <wp:effectExtent l="19050" t="0" r="127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704080" cy="2677160"/>
                          </a:xfrm>
                          <a:prstGeom prst="rect">
                            <a:avLst/>
                          </a:prstGeom>
                          <a:noFill/>
                          <a:ln w="9525">
                            <a:noFill/>
                            <a:miter lim="800000"/>
                            <a:headEnd/>
                            <a:tailEnd/>
                          </a:ln>
                        </pic:spPr>
                      </pic:pic>
                    </a:graphicData>
                  </a:graphic>
                </wp:inline>
              </w:drawing>
            </w:r>
          </w:p>
        </w:tc>
      </w:tr>
      <w:tr w:rsidR="0063712E" w:rsidTr="002215A2">
        <w:trPr>
          <w:cantSplit/>
        </w:trPr>
        <w:tc>
          <w:tcPr>
            <w:tcW w:w="7416" w:type="dxa"/>
          </w:tcPr>
          <w:p w:rsidR="0063712E" w:rsidRPr="00C85F13" w:rsidRDefault="0063712E" w:rsidP="002215A2">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2620" w:rsidRDefault="00692620" w:rsidP="00692620">
      <w:pPr>
        <w:pStyle w:val="ae"/>
        <w:ind w:leftChars="-1012" w:left="-2125"/>
      </w:pPr>
    </w:p>
    <w:p w:rsidR="00692620" w:rsidRDefault="00692620" w:rsidP="00692620">
      <w:pPr>
        <w:pStyle w:val="ae"/>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13</w:t>
      </w:r>
      <w:r w:rsidR="00593347">
        <w:fldChar w:fldCharType="end"/>
      </w:r>
      <w:r>
        <w:rPr>
          <w:rFonts w:hint="eastAsia"/>
        </w:rPr>
        <w:t>：</w:t>
      </w:r>
      <w:r w:rsidR="00646950">
        <w:rPr>
          <w:rFonts w:hint="eastAsia"/>
        </w:rPr>
        <w:t>国债现货利率走势</w:t>
      </w:r>
      <w:r>
        <w:rPr>
          <w:rFonts w:hint="eastAsia"/>
        </w:rPr>
        <w:t>、</w:t>
      </w:r>
      <w:r w:rsidR="00646950">
        <w:rPr>
          <w:rFonts w:hint="eastAsia"/>
        </w:rPr>
        <w:t>国债现货利率期限结构</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692620" w:rsidTr="002215A2">
        <w:trPr>
          <w:cantSplit/>
          <w:trHeight w:val="3629"/>
        </w:trPr>
        <w:tc>
          <w:tcPr>
            <w:tcW w:w="9498" w:type="dxa"/>
          </w:tcPr>
          <w:p w:rsidR="00692620" w:rsidRDefault="00917A59" w:rsidP="002215A2">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12512" behindDoc="0" locked="0" layoutInCell="1" allowOverlap="1">
                  <wp:simplePos x="0" y="0"/>
                  <wp:positionH relativeFrom="column">
                    <wp:posOffset>3007068</wp:posOffset>
                  </wp:positionH>
                  <wp:positionV relativeFrom="paragraph">
                    <wp:posOffset>59946</wp:posOffset>
                  </wp:positionV>
                  <wp:extent cx="2921856" cy="2199503"/>
                  <wp:effectExtent l="19050" t="0" r="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921189" cy="2199001"/>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711488" behindDoc="0" locked="0" layoutInCell="1" allowOverlap="1">
                  <wp:simplePos x="0" y="0"/>
                  <wp:positionH relativeFrom="column">
                    <wp:posOffset>-49170</wp:posOffset>
                  </wp:positionH>
                  <wp:positionV relativeFrom="paragraph">
                    <wp:posOffset>59947</wp:posOffset>
                  </wp:positionV>
                  <wp:extent cx="3053664" cy="2199503"/>
                  <wp:effectExtent l="1905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053664" cy="2199503"/>
                          </a:xfrm>
                          <a:prstGeom prst="rect">
                            <a:avLst/>
                          </a:prstGeom>
                          <a:noFill/>
                          <a:ln w="9525">
                            <a:noFill/>
                            <a:miter lim="800000"/>
                            <a:headEnd/>
                            <a:tailEnd/>
                          </a:ln>
                        </pic:spPr>
                      </pic:pic>
                    </a:graphicData>
                  </a:graphic>
                </wp:anchor>
              </w:drawing>
            </w:r>
          </w:p>
        </w:tc>
      </w:tr>
      <w:tr w:rsidR="00692620" w:rsidTr="002215A2">
        <w:tblPrEx>
          <w:tblCellMar>
            <w:left w:w="0" w:type="dxa"/>
            <w:right w:w="0" w:type="dxa"/>
          </w:tblCellMar>
        </w:tblPrEx>
        <w:trPr>
          <w:cantSplit/>
        </w:trPr>
        <w:tc>
          <w:tcPr>
            <w:tcW w:w="9498" w:type="dxa"/>
          </w:tcPr>
          <w:p w:rsidR="00692620" w:rsidRPr="00F6467B" w:rsidRDefault="00692620" w:rsidP="002215A2">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2620" w:rsidRDefault="00692620" w:rsidP="00692620">
      <w:pPr>
        <w:pStyle w:val="2"/>
        <w:spacing w:before="312" w:after="312"/>
        <w:rPr>
          <w:rFonts w:asciiTheme="majorEastAsia" w:hAnsiTheme="majorEastAsia"/>
          <w:szCs w:val="21"/>
        </w:rPr>
      </w:pPr>
      <w:r>
        <w:rPr>
          <w:rFonts w:asciiTheme="majorEastAsia" w:hAnsiTheme="majorEastAsia"/>
          <w:szCs w:val="21"/>
        </w:rPr>
        <w:lastRenderedPageBreak/>
        <w:t>二、</w:t>
      </w:r>
      <w:r w:rsidR="009D3A7E">
        <w:rPr>
          <w:rFonts w:asciiTheme="majorEastAsia" w:hAnsiTheme="majorEastAsia" w:hint="eastAsia"/>
          <w:szCs w:val="21"/>
        </w:rPr>
        <w:t>宏观经济形势分析：</w:t>
      </w:r>
      <w:r w:rsidR="00090B02">
        <w:rPr>
          <w:rFonts w:asciiTheme="majorEastAsia" w:hAnsiTheme="majorEastAsia" w:hint="eastAsia"/>
          <w:szCs w:val="21"/>
        </w:rPr>
        <w:t>短期通胀上行有限</w:t>
      </w:r>
    </w:p>
    <w:p w:rsidR="00D5320E" w:rsidRDefault="00D5320E" w:rsidP="00D5320E">
      <w:pPr>
        <w:pStyle w:val="ae"/>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14</w:t>
      </w:r>
      <w:r w:rsidR="00593347">
        <w:fldChar w:fldCharType="end"/>
      </w:r>
      <w:r>
        <w:rPr>
          <w:rFonts w:hint="eastAsia"/>
        </w:rPr>
        <w:t>：</w:t>
      </w:r>
      <w:r>
        <w:rPr>
          <w:rFonts w:hint="eastAsia"/>
        </w:rPr>
        <w:t>CPI</w:t>
      </w:r>
      <w:r>
        <w:rPr>
          <w:rFonts w:hint="eastAsia"/>
        </w:rPr>
        <w:t>、</w:t>
      </w:r>
      <w:r>
        <w:rPr>
          <w:rFonts w:hint="eastAsia"/>
        </w:rPr>
        <w:t>PPI</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D5320E" w:rsidTr="002215A2">
        <w:trPr>
          <w:cantSplit/>
          <w:trHeight w:val="3629"/>
        </w:trPr>
        <w:tc>
          <w:tcPr>
            <w:tcW w:w="9498" w:type="dxa"/>
          </w:tcPr>
          <w:p w:rsidR="00D5320E" w:rsidRDefault="00B91A6E" w:rsidP="002215A2">
            <w:pPr>
              <w:widowControl/>
              <w:spacing w:beforeLines="0" w:afterLines="0" w:line="240" w:lineRule="auto"/>
              <w:ind w:leftChars="-51" w:left="-107"/>
              <w:jc w:val="left"/>
              <w:rPr>
                <w:rFonts w:ascii="宋体" w:hAnsi="宋体"/>
                <w:bCs/>
                <w:szCs w:val="21"/>
                <w:lang w:bidi="en-US"/>
              </w:rPr>
            </w:pPr>
            <w:r>
              <w:rPr>
                <w:noProof/>
              </w:rPr>
              <w:drawing>
                <wp:anchor distT="0" distB="0" distL="114300" distR="114300" simplePos="0" relativeHeight="251714560" behindDoc="0" locked="0" layoutInCell="1" allowOverlap="1">
                  <wp:simplePos x="0" y="0"/>
                  <wp:positionH relativeFrom="column">
                    <wp:posOffset>2825836</wp:posOffset>
                  </wp:positionH>
                  <wp:positionV relativeFrom="paragraph">
                    <wp:posOffset>46424</wp:posOffset>
                  </wp:positionV>
                  <wp:extent cx="3062830" cy="2215978"/>
                  <wp:effectExtent l="19050" t="0" r="4220" b="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062433" cy="2215691"/>
                          </a:xfrm>
                          <a:prstGeom prst="rect">
                            <a:avLst/>
                          </a:prstGeom>
                          <a:noFill/>
                          <a:ln w="9525">
                            <a:noFill/>
                            <a:miter lim="800000"/>
                            <a:headEnd/>
                            <a:tailEnd/>
                          </a:ln>
                        </pic:spPr>
                      </pic:pic>
                    </a:graphicData>
                  </a:graphic>
                </wp:anchor>
              </w:drawing>
            </w:r>
            <w:r>
              <w:rPr>
                <w:noProof/>
              </w:rPr>
              <w:drawing>
                <wp:anchor distT="0" distB="0" distL="114300" distR="114300" simplePos="0" relativeHeight="251713536" behindDoc="0" locked="0" layoutInCell="1" allowOverlap="1">
                  <wp:simplePos x="0" y="0"/>
                  <wp:positionH relativeFrom="column">
                    <wp:posOffset>16733</wp:posOffset>
                  </wp:positionH>
                  <wp:positionV relativeFrom="paragraph">
                    <wp:posOffset>46424</wp:posOffset>
                  </wp:positionV>
                  <wp:extent cx="2806528" cy="2215978"/>
                  <wp:effectExtent l="19050" t="0" r="0"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2806493" cy="2215950"/>
                          </a:xfrm>
                          <a:prstGeom prst="rect">
                            <a:avLst/>
                          </a:prstGeom>
                          <a:noFill/>
                          <a:ln w="9525">
                            <a:noFill/>
                            <a:miter lim="800000"/>
                            <a:headEnd/>
                            <a:tailEnd/>
                          </a:ln>
                        </pic:spPr>
                      </pic:pic>
                    </a:graphicData>
                  </a:graphic>
                </wp:anchor>
              </w:drawing>
            </w:r>
          </w:p>
        </w:tc>
      </w:tr>
      <w:tr w:rsidR="00D5320E" w:rsidTr="002215A2">
        <w:tblPrEx>
          <w:tblCellMar>
            <w:left w:w="0" w:type="dxa"/>
            <w:right w:w="0" w:type="dxa"/>
          </w:tblCellMar>
        </w:tblPrEx>
        <w:trPr>
          <w:cantSplit/>
        </w:trPr>
        <w:tc>
          <w:tcPr>
            <w:tcW w:w="9498" w:type="dxa"/>
          </w:tcPr>
          <w:p w:rsidR="00D5320E" w:rsidRPr="00F6467B" w:rsidRDefault="00D5320E" w:rsidP="002215A2">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2620" w:rsidRDefault="00090B02" w:rsidP="00692620">
      <w:pPr>
        <w:spacing w:before="312" w:after="312"/>
        <w:rPr>
          <w:lang w:bidi="en-US"/>
        </w:rPr>
      </w:pPr>
      <w:r w:rsidRPr="00090B02">
        <w:rPr>
          <w:rFonts w:hint="eastAsia"/>
          <w:lang w:bidi="en-US"/>
        </w:rPr>
        <w:t>2017</w:t>
      </w:r>
      <w:r w:rsidRPr="00090B02">
        <w:rPr>
          <w:rFonts w:hint="eastAsia"/>
          <w:lang w:bidi="en-US"/>
        </w:rPr>
        <w:t>年</w:t>
      </w:r>
      <w:r w:rsidRPr="00090B02">
        <w:rPr>
          <w:rFonts w:hint="eastAsia"/>
          <w:lang w:bidi="en-US"/>
        </w:rPr>
        <w:t>1</w:t>
      </w:r>
      <w:r w:rsidRPr="00090B02">
        <w:rPr>
          <w:rFonts w:hint="eastAsia"/>
          <w:lang w:bidi="en-US"/>
        </w:rPr>
        <w:t>月份</w:t>
      </w:r>
      <w:r w:rsidRPr="00090B02">
        <w:rPr>
          <w:rFonts w:hint="eastAsia"/>
          <w:lang w:bidi="en-US"/>
        </w:rPr>
        <w:t>CPI</w:t>
      </w:r>
      <w:r w:rsidRPr="00090B02">
        <w:rPr>
          <w:rFonts w:hint="eastAsia"/>
          <w:lang w:bidi="en-US"/>
        </w:rPr>
        <w:t>同比上涨</w:t>
      </w:r>
      <w:r w:rsidRPr="00090B02">
        <w:rPr>
          <w:rFonts w:hint="eastAsia"/>
          <w:lang w:bidi="en-US"/>
        </w:rPr>
        <w:t>2.5%</w:t>
      </w:r>
      <w:r w:rsidRPr="00090B02">
        <w:rPr>
          <w:rFonts w:hint="eastAsia"/>
          <w:lang w:bidi="en-US"/>
        </w:rPr>
        <w:t>，比上个月上升</w:t>
      </w:r>
      <w:r w:rsidRPr="00090B02">
        <w:rPr>
          <w:rFonts w:hint="eastAsia"/>
          <w:lang w:bidi="en-US"/>
        </w:rPr>
        <w:t>0.4</w:t>
      </w:r>
      <w:r w:rsidRPr="00090B02">
        <w:rPr>
          <w:rFonts w:hint="eastAsia"/>
          <w:lang w:bidi="en-US"/>
        </w:rPr>
        <w:t>个百分点；</w:t>
      </w:r>
      <w:r w:rsidRPr="00090B02">
        <w:rPr>
          <w:rFonts w:hint="eastAsia"/>
          <w:lang w:bidi="en-US"/>
        </w:rPr>
        <w:t>CPI</w:t>
      </w:r>
      <w:r w:rsidRPr="00090B02">
        <w:rPr>
          <w:rFonts w:hint="eastAsia"/>
          <w:lang w:bidi="en-US"/>
        </w:rPr>
        <w:t>环比上涨</w:t>
      </w:r>
      <w:r w:rsidRPr="00090B02">
        <w:rPr>
          <w:rFonts w:hint="eastAsia"/>
          <w:lang w:bidi="en-US"/>
        </w:rPr>
        <w:t>1%</w:t>
      </w:r>
      <w:r w:rsidRPr="00090B02">
        <w:rPr>
          <w:rFonts w:hint="eastAsia"/>
          <w:lang w:bidi="en-US"/>
        </w:rPr>
        <w:t>，涨幅扩大</w:t>
      </w:r>
      <w:r w:rsidRPr="00090B02">
        <w:rPr>
          <w:rFonts w:hint="eastAsia"/>
          <w:lang w:bidi="en-US"/>
        </w:rPr>
        <w:t>0.2</w:t>
      </w:r>
      <w:r w:rsidRPr="00090B02">
        <w:rPr>
          <w:rFonts w:hint="eastAsia"/>
          <w:lang w:bidi="en-US"/>
        </w:rPr>
        <w:t>个百分点。</w:t>
      </w:r>
      <w:r w:rsidRPr="00090B02">
        <w:rPr>
          <w:rFonts w:hint="eastAsia"/>
          <w:lang w:bidi="en-US"/>
        </w:rPr>
        <w:t>1</w:t>
      </w:r>
      <w:r w:rsidRPr="00090B02">
        <w:rPr>
          <w:rFonts w:hint="eastAsia"/>
          <w:lang w:bidi="en-US"/>
        </w:rPr>
        <w:t>月食品价格同比上涨</w:t>
      </w:r>
      <w:r w:rsidRPr="00090B02">
        <w:rPr>
          <w:rFonts w:hint="eastAsia"/>
          <w:lang w:bidi="en-US"/>
        </w:rPr>
        <w:t>2.7%</w:t>
      </w:r>
      <w:r w:rsidRPr="00090B02">
        <w:rPr>
          <w:rFonts w:hint="eastAsia"/>
          <w:lang w:bidi="en-US"/>
        </w:rPr>
        <w:t>，涨幅扩大</w:t>
      </w:r>
      <w:r w:rsidRPr="00090B02">
        <w:rPr>
          <w:rFonts w:hint="eastAsia"/>
          <w:lang w:bidi="en-US"/>
        </w:rPr>
        <w:t>0.3</w:t>
      </w:r>
      <w:r w:rsidRPr="00090B02">
        <w:rPr>
          <w:rFonts w:hint="eastAsia"/>
          <w:lang w:bidi="en-US"/>
        </w:rPr>
        <w:t>个百分点；非食品价格上涨</w:t>
      </w:r>
      <w:r w:rsidRPr="00090B02">
        <w:rPr>
          <w:rFonts w:hint="eastAsia"/>
          <w:lang w:bidi="en-US"/>
        </w:rPr>
        <w:t>2.5%</w:t>
      </w:r>
      <w:r w:rsidRPr="00090B02">
        <w:rPr>
          <w:rFonts w:hint="eastAsia"/>
          <w:lang w:bidi="en-US"/>
        </w:rPr>
        <w:t>，涨幅扩大</w:t>
      </w:r>
      <w:r w:rsidRPr="00090B02">
        <w:rPr>
          <w:rFonts w:hint="eastAsia"/>
          <w:lang w:bidi="en-US"/>
        </w:rPr>
        <w:t>0.5</w:t>
      </w:r>
      <w:r w:rsidRPr="00090B02">
        <w:rPr>
          <w:rFonts w:hint="eastAsia"/>
          <w:lang w:bidi="en-US"/>
        </w:rPr>
        <w:t>个百分点。剔除食品和能源的核心</w:t>
      </w:r>
      <w:r w:rsidRPr="00090B02">
        <w:rPr>
          <w:rFonts w:hint="eastAsia"/>
          <w:lang w:bidi="en-US"/>
        </w:rPr>
        <w:t>CPI</w:t>
      </w:r>
      <w:r w:rsidRPr="00090B02">
        <w:rPr>
          <w:rFonts w:hint="eastAsia"/>
          <w:lang w:bidi="en-US"/>
        </w:rPr>
        <w:t>同比上涨</w:t>
      </w:r>
      <w:r w:rsidRPr="00090B02">
        <w:rPr>
          <w:rFonts w:hint="eastAsia"/>
          <w:lang w:bidi="en-US"/>
        </w:rPr>
        <w:t>2.2%</w:t>
      </w:r>
      <w:r w:rsidRPr="00090B02">
        <w:rPr>
          <w:rFonts w:hint="eastAsia"/>
          <w:lang w:bidi="en-US"/>
        </w:rPr>
        <w:t>，涨幅比上个月上升</w:t>
      </w:r>
      <w:r w:rsidRPr="00090B02">
        <w:rPr>
          <w:rFonts w:hint="eastAsia"/>
          <w:lang w:bidi="en-US"/>
        </w:rPr>
        <w:t>0.3</w:t>
      </w:r>
      <w:r w:rsidRPr="00090B02">
        <w:rPr>
          <w:rFonts w:hint="eastAsia"/>
          <w:lang w:bidi="en-US"/>
        </w:rPr>
        <w:t>个百分点，</w:t>
      </w:r>
      <w:r w:rsidRPr="00090B02">
        <w:rPr>
          <w:rFonts w:hint="eastAsia"/>
          <w:lang w:bidi="en-US"/>
        </w:rPr>
        <w:t>2014</w:t>
      </w:r>
      <w:r w:rsidRPr="00090B02">
        <w:rPr>
          <w:rFonts w:hint="eastAsia"/>
          <w:lang w:bidi="en-US"/>
        </w:rPr>
        <w:t>年</w:t>
      </w:r>
      <w:r w:rsidRPr="00090B02">
        <w:rPr>
          <w:rFonts w:hint="eastAsia"/>
          <w:lang w:bidi="en-US"/>
        </w:rPr>
        <w:t>2</w:t>
      </w:r>
      <w:r w:rsidRPr="00090B02">
        <w:rPr>
          <w:rFonts w:hint="eastAsia"/>
          <w:lang w:bidi="en-US"/>
        </w:rPr>
        <w:t>月以来首次回升至</w:t>
      </w:r>
      <w:r w:rsidRPr="00090B02">
        <w:rPr>
          <w:rFonts w:hint="eastAsia"/>
          <w:lang w:bidi="en-US"/>
        </w:rPr>
        <w:t>2%</w:t>
      </w:r>
      <w:r w:rsidRPr="00090B02">
        <w:rPr>
          <w:rFonts w:hint="eastAsia"/>
          <w:lang w:bidi="en-US"/>
        </w:rPr>
        <w:t>以上。</w:t>
      </w:r>
      <w:r>
        <w:rPr>
          <w:rFonts w:hint="eastAsia"/>
          <w:lang w:bidi="en-US"/>
        </w:rPr>
        <w:t>由于春节错位的原因使得</w:t>
      </w:r>
      <w:r>
        <w:rPr>
          <w:rFonts w:hint="eastAsia"/>
          <w:lang w:bidi="en-US"/>
        </w:rPr>
        <w:t>1</w:t>
      </w:r>
      <w:r>
        <w:rPr>
          <w:rFonts w:hint="eastAsia"/>
          <w:lang w:bidi="en-US"/>
        </w:rPr>
        <w:t>月</w:t>
      </w:r>
      <w:r>
        <w:rPr>
          <w:rFonts w:hint="eastAsia"/>
          <w:lang w:bidi="en-US"/>
        </w:rPr>
        <w:t>CPI</w:t>
      </w:r>
      <w:r>
        <w:rPr>
          <w:rFonts w:hint="eastAsia"/>
          <w:lang w:bidi="en-US"/>
        </w:rPr>
        <w:t>涨幅较快，但食品价格未来涨幅有限。不过非食品价格上涨较快，成为近期推动物价上行的主要因素。</w:t>
      </w:r>
      <w:r w:rsidRPr="00090B02">
        <w:rPr>
          <w:rFonts w:hint="eastAsia"/>
          <w:lang w:bidi="en-US"/>
        </w:rPr>
        <w:t>1</w:t>
      </w:r>
      <w:r w:rsidRPr="00090B02">
        <w:rPr>
          <w:rFonts w:hint="eastAsia"/>
          <w:lang w:bidi="en-US"/>
        </w:rPr>
        <w:t>月非食品</w:t>
      </w:r>
      <w:r w:rsidRPr="00090B02">
        <w:rPr>
          <w:rFonts w:hint="eastAsia"/>
          <w:lang w:bidi="en-US"/>
        </w:rPr>
        <w:t>CPI</w:t>
      </w:r>
      <w:r w:rsidRPr="00090B02">
        <w:rPr>
          <w:rFonts w:hint="eastAsia"/>
          <w:lang w:bidi="en-US"/>
        </w:rPr>
        <w:t>同比连续一年由去年初的</w:t>
      </w:r>
      <w:r w:rsidRPr="00090B02">
        <w:rPr>
          <w:rFonts w:hint="eastAsia"/>
          <w:lang w:bidi="en-US"/>
        </w:rPr>
        <w:t>1.0%</w:t>
      </w:r>
      <w:r w:rsidRPr="00090B02">
        <w:rPr>
          <w:rFonts w:hint="eastAsia"/>
          <w:lang w:bidi="en-US"/>
        </w:rPr>
        <w:t>趋势上涨至</w:t>
      </w:r>
      <w:r w:rsidRPr="00090B02">
        <w:rPr>
          <w:rFonts w:hint="eastAsia"/>
          <w:lang w:bidi="en-US"/>
        </w:rPr>
        <w:t>2.5%</w:t>
      </w:r>
      <w:r w:rsidRPr="00090B02">
        <w:rPr>
          <w:rFonts w:hint="eastAsia"/>
          <w:lang w:bidi="en-US"/>
        </w:rPr>
        <w:t>。酒类、医疗、交通通讯、文娱、居住、家用设备各分项均较去年低点上涨了</w:t>
      </w:r>
      <w:r w:rsidRPr="00090B02">
        <w:rPr>
          <w:rFonts w:hint="eastAsia"/>
          <w:lang w:bidi="en-US"/>
        </w:rPr>
        <w:t>0.3-5</w:t>
      </w:r>
      <w:r w:rsidRPr="00090B02">
        <w:rPr>
          <w:rFonts w:hint="eastAsia"/>
          <w:lang w:bidi="en-US"/>
        </w:rPr>
        <w:t>个百分点。</w:t>
      </w:r>
    </w:p>
    <w:p w:rsidR="00090B02" w:rsidRDefault="00090B02" w:rsidP="00692620">
      <w:pPr>
        <w:spacing w:before="312" w:after="312"/>
        <w:rPr>
          <w:lang w:bidi="en-US"/>
        </w:rPr>
      </w:pPr>
      <w:r w:rsidRPr="00090B02">
        <w:rPr>
          <w:rFonts w:hint="eastAsia"/>
          <w:lang w:bidi="en-US"/>
        </w:rPr>
        <w:t>2017</w:t>
      </w:r>
      <w:r w:rsidRPr="00090B02">
        <w:rPr>
          <w:rFonts w:hint="eastAsia"/>
          <w:lang w:bidi="en-US"/>
        </w:rPr>
        <w:t>年</w:t>
      </w:r>
      <w:r w:rsidRPr="00090B02">
        <w:rPr>
          <w:rFonts w:hint="eastAsia"/>
          <w:lang w:bidi="en-US"/>
        </w:rPr>
        <w:t>1</w:t>
      </w:r>
      <w:r w:rsidRPr="00090B02">
        <w:rPr>
          <w:rFonts w:hint="eastAsia"/>
          <w:lang w:bidi="en-US"/>
        </w:rPr>
        <w:t>月份</w:t>
      </w:r>
      <w:r w:rsidRPr="00090B02">
        <w:rPr>
          <w:rFonts w:hint="eastAsia"/>
          <w:lang w:bidi="en-US"/>
        </w:rPr>
        <w:t>PPI</w:t>
      </w:r>
      <w:r w:rsidRPr="00090B02">
        <w:rPr>
          <w:rFonts w:hint="eastAsia"/>
          <w:lang w:bidi="en-US"/>
        </w:rPr>
        <w:t>同比上涨</w:t>
      </w:r>
      <w:r w:rsidRPr="00090B02">
        <w:rPr>
          <w:rFonts w:hint="eastAsia"/>
          <w:lang w:bidi="en-US"/>
        </w:rPr>
        <w:t>6.9%</w:t>
      </w:r>
      <w:r w:rsidRPr="00090B02">
        <w:rPr>
          <w:rFonts w:hint="eastAsia"/>
          <w:lang w:bidi="en-US"/>
        </w:rPr>
        <w:t>，涨幅比上个月大幅扩大了</w:t>
      </w:r>
      <w:r w:rsidRPr="00090B02">
        <w:rPr>
          <w:rFonts w:hint="eastAsia"/>
          <w:lang w:bidi="en-US"/>
        </w:rPr>
        <w:t>1.4</w:t>
      </w:r>
      <w:r w:rsidRPr="00090B02">
        <w:rPr>
          <w:rFonts w:hint="eastAsia"/>
          <w:lang w:bidi="en-US"/>
        </w:rPr>
        <w:t>个百分点，延续上涨态势；</w:t>
      </w:r>
      <w:r w:rsidRPr="00090B02">
        <w:rPr>
          <w:rFonts w:hint="eastAsia"/>
          <w:lang w:bidi="en-US"/>
        </w:rPr>
        <w:t>PPI</w:t>
      </w:r>
      <w:r w:rsidRPr="00090B02">
        <w:rPr>
          <w:rFonts w:hint="eastAsia"/>
          <w:lang w:bidi="en-US"/>
        </w:rPr>
        <w:t>环比上涨</w:t>
      </w:r>
      <w:r w:rsidRPr="00090B02">
        <w:rPr>
          <w:rFonts w:hint="eastAsia"/>
          <w:lang w:bidi="en-US"/>
        </w:rPr>
        <w:t>0.8%</w:t>
      </w:r>
      <w:r w:rsidRPr="00090B02">
        <w:rPr>
          <w:rFonts w:hint="eastAsia"/>
          <w:lang w:bidi="en-US"/>
        </w:rPr>
        <w:t>，涨幅比上个月缩小</w:t>
      </w:r>
      <w:r w:rsidRPr="00090B02">
        <w:rPr>
          <w:rFonts w:hint="eastAsia"/>
          <w:lang w:bidi="en-US"/>
        </w:rPr>
        <w:t>0.8</w:t>
      </w:r>
      <w:r w:rsidRPr="00090B02">
        <w:rPr>
          <w:rFonts w:hint="eastAsia"/>
          <w:lang w:bidi="en-US"/>
        </w:rPr>
        <w:t>个百分点。</w:t>
      </w:r>
      <w:r w:rsidRPr="00090B02">
        <w:rPr>
          <w:rFonts w:hint="eastAsia"/>
          <w:lang w:bidi="en-US"/>
        </w:rPr>
        <w:t>1</w:t>
      </w:r>
      <w:r w:rsidRPr="00090B02">
        <w:rPr>
          <w:rFonts w:hint="eastAsia"/>
          <w:lang w:bidi="en-US"/>
        </w:rPr>
        <w:t>月工业生产者购进价格指数（</w:t>
      </w:r>
      <w:r w:rsidRPr="00090B02">
        <w:rPr>
          <w:rFonts w:hint="eastAsia"/>
          <w:lang w:bidi="en-US"/>
        </w:rPr>
        <w:t>PPIRM</w:t>
      </w:r>
      <w:r w:rsidRPr="00090B02">
        <w:rPr>
          <w:rFonts w:hint="eastAsia"/>
          <w:lang w:bidi="en-US"/>
        </w:rPr>
        <w:t>）同比上涨</w:t>
      </w:r>
      <w:r w:rsidRPr="00090B02">
        <w:rPr>
          <w:rFonts w:hint="eastAsia"/>
          <w:lang w:bidi="en-US"/>
        </w:rPr>
        <w:t>8.4%</w:t>
      </w:r>
      <w:r w:rsidRPr="00090B02">
        <w:rPr>
          <w:rFonts w:hint="eastAsia"/>
          <w:lang w:bidi="en-US"/>
        </w:rPr>
        <w:t>，涨幅比上个月加大</w:t>
      </w:r>
      <w:r w:rsidRPr="00090B02">
        <w:rPr>
          <w:rFonts w:hint="eastAsia"/>
          <w:lang w:bidi="en-US"/>
        </w:rPr>
        <w:t>2.1</w:t>
      </w:r>
      <w:r w:rsidRPr="00090B02">
        <w:rPr>
          <w:rFonts w:hint="eastAsia"/>
          <w:lang w:bidi="en-US"/>
        </w:rPr>
        <w:t>个百分点；环比上涨</w:t>
      </w:r>
      <w:r w:rsidRPr="00090B02">
        <w:rPr>
          <w:rFonts w:hint="eastAsia"/>
          <w:lang w:bidi="en-US"/>
        </w:rPr>
        <w:t>1.2%</w:t>
      </w:r>
      <w:r w:rsidRPr="00090B02">
        <w:rPr>
          <w:rFonts w:hint="eastAsia"/>
          <w:lang w:bidi="en-US"/>
        </w:rPr>
        <w:t>，涨幅比上个月缩小</w:t>
      </w:r>
      <w:r w:rsidRPr="00090B02">
        <w:rPr>
          <w:rFonts w:hint="eastAsia"/>
          <w:lang w:bidi="en-US"/>
        </w:rPr>
        <w:t>0.7</w:t>
      </w:r>
      <w:r w:rsidRPr="00090B02">
        <w:rPr>
          <w:rFonts w:hint="eastAsia"/>
          <w:lang w:bidi="en-US"/>
        </w:rPr>
        <w:t>个百分点。</w:t>
      </w:r>
      <w:r w:rsidR="00B91A6E" w:rsidRPr="00B91A6E">
        <w:rPr>
          <w:rFonts w:hint="eastAsia"/>
          <w:lang w:bidi="en-US"/>
        </w:rPr>
        <w:t>同比涨幅最大的是煤炭开采和洗选业、石油和天然气开采业、黑色金属矿采选业、黑色金属冶炼和压延加工业、有色金属矿采选业，涨幅分别为</w:t>
      </w:r>
      <w:r w:rsidR="00B91A6E" w:rsidRPr="00B91A6E">
        <w:rPr>
          <w:rFonts w:hint="eastAsia"/>
          <w:lang w:bidi="en-US"/>
        </w:rPr>
        <w:t>38.4%</w:t>
      </w:r>
      <w:r w:rsidR="00B91A6E" w:rsidRPr="00B91A6E">
        <w:rPr>
          <w:rFonts w:hint="eastAsia"/>
          <w:lang w:bidi="en-US"/>
        </w:rPr>
        <w:t>、</w:t>
      </w:r>
      <w:r w:rsidR="00B91A6E" w:rsidRPr="00B91A6E">
        <w:rPr>
          <w:rFonts w:hint="eastAsia"/>
          <w:lang w:bidi="en-US"/>
        </w:rPr>
        <w:t>58.5%</w:t>
      </w:r>
      <w:r w:rsidR="00B91A6E" w:rsidRPr="00B91A6E">
        <w:rPr>
          <w:rFonts w:hint="eastAsia"/>
          <w:lang w:bidi="en-US"/>
        </w:rPr>
        <w:t>、</w:t>
      </w:r>
      <w:r w:rsidR="00B91A6E" w:rsidRPr="00B91A6E">
        <w:rPr>
          <w:rFonts w:hint="eastAsia"/>
          <w:lang w:bidi="en-US"/>
        </w:rPr>
        <w:t>23.7%</w:t>
      </w:r>
      <w:r w:rsidR="00B91A6E" w:rsidRPr="00B91A6E">
        <w:rPr>
          <w:rFonts w:hint="eastAsia"/>
          <w:lang w:bidi="en-US"/>
        </w:rPr>
        <w:t>、</w:t>
      </w:r>
      <w:r w:rsidR="00B91A6E" w:rsidRPr="00B91A6E">
        <w:rPr>
          <w:rFonts w:hint="eastAsia"/>
          <w:lang w:bidi="en-US"/>
        </w:rPr>
        <w:t>37.3%</w:t>
      </w:r>
      <w:r w:rsidR="00B91A6E" w:rsidRPr="00B91A6E">
        <w:rPr>
          <w:rFonts w:hint="eastAsia"/>
          <w:lang w:bidi="en-US"/>
        </w:rPr>
        <w:t>、</w:t>
      </w:r>
      <w:r w:rsidR="00B91A6E" w:rsidRPr="00B91A6E">
        <w:rPr>
          <w:rFonts w:hint="eastAsia"/>
          <w:lang w:bidi="en-US"/>
        </w:rPr>
        <w:t>17.7%</w:t>
      </w:r>
      <w:r w:rsidR="00B91A6E" w:rsidRPr="00B91A6E">
        <w:rPr>
          <w:rFonts w:hint="eastAsia"/>
          <w:lang w:bidi="en-US"/>
        </w:rPr>
        <w:t>。从环比来看，</w:t>
      </w:r>
      <w:r w:rsidR="00B91A6E" w:rsidRPr="00B91A6E">
        <w:rPr>
          <w:rFonts w:hint="eastAsia"/>
          <w:lang w:bidi="en-US"/>
        </w:rPr>
        <w:t>1</w:t>
      </w:r>
      <w:r w:rsidR="00B91A6E" w:rsidRPr="00B91A6E">
        <w:rPr>
          <w:rFonts w:hint="eastAsia"/>
          <w:lang w:bidi="en-US"/>
        </w:rPr>
        <w:t>月</w:t>
      </w:r>
      <w:r w:rsidR="00B91A6E" w:rsidRPr="00B91A6E">
        <w:rPr>
          <w:rFonts w:hint="eastAsia"/>
          <w:lang w:bidi="en-US"/>
        </w:rPr>
        <w:t>PPI</w:t>
      </w:r>
      <w:r w:rsidR="00B91A6E" w:rsidRPr="00B91A6E">
        <w:rPr>
          <w:rFonts w:hint="eastAsia"/>
          <w:lang w:bidi="en-US"/>
        </w:rPr>
        <w:t>环比上涨</w:t>
      </w:r>
      <w:r w:rsidR="00B91A6E" w:rsidRPr="00B91A6E">
        <w:rPr>
          <w:rFonts w:hint="eastAsia"/>
          <w:lang w:bidi="en-US"/>
        </w:rPr>
        <w:t>0.8%</w:t>
      </w:r>
      <w:r w:rsidR="00B91A6E" w:rsidRPr="00B91A6E">
        <w:rPr>
          <w:rFonts w:hint="eastAsia"/>
          <w:lang w:bidi="en-US"/>
        </w:rPr>
        <w:t>，涨幅比上个月缩小</w:t>
      </w:r>
      <w:r w:rsidR="00B91A6E" w:rsidRPr="00B91A6E">
        <w:rPr>
          <w:rFonts w:hint="eastAsia"/>
          <w:lang w:bidi="en-US"/>
        </w:rPr>
        <w:t>0.8</w:t>
      </w:r>
      <w:r w:rsidR="00B91A6E" w:rsidRPr="00B91A6E">
        <w:rPr>
          <w:rFonts w:hint="eastAsia"/>
          <w:lang w:bidi="en-US"/>
        </w:rPr>
        <w:t>个百分点，主要生产资料市场价格都有上涨，但普遍涨幅有所收窄。</w:t>
      </w:r>
      <w:r w:rsidR="00B91A6E">
        <w:rPr>
          <w:rFonts w:hint="eastAsia"/>
          <w:lang w:bidi="en-US"/>
        </w:rPr>
        <w:t>由于去年基数较低导致</w:t>
      </w:r>
      <w:r w:rsidR="00B91A6E">
        <w:rPr>
          <w:rFonts w:hint="eastAsia"/>
          <w:lang w:bidi="en-US"/>
        </w:rPr>
        <w:t>PPI</w:t>
      </w:r>
      <w:r w:rsidR="00B91A6E">
        <w:rPr>
          <w:rFonts w:hint="eastAsia"/>
          <w:lang w:bidi="en-US"/>
        </w:rPr>
        <w:t>同比增幅依旧大涨，但是环比涨幅已经明显收窄，由于年初大宗商品价格回落，导致</w:t>
      </w:r>
      <w:r w:rsidR="00B91A6E">
        <w:rPr>
          <w:rFonts w:hint="eastAsia"/>
          <w:lang w:bidi="en-US"/>
        </w:rPr>
        <w:t>PPI</w:t>
      </w:r>
      <w:r w:rsidR="00B91A6E">
        <w:rPr>
          <w:rFonts w:hint="eastAsia"/>
          <w:lang w:bidi="en-US"/>
        </w:rPr>
        <w:t>迅猛上涨的势头终于有所收敛。一旦未来下游需求无法有效启动，则原材料进一步涨价的空间将非常小。</w:t>
      </w:r>
    </w:p>
    <w:p w:rsidR="003043EA" w:rsidRDefault="003043EA" w:rsidP="003043EA">
      <w:pPr>
        <w:pStyle w:val="ae"/>
        <w:ind w:leftChars="-1012" w:left="-2125"/>
      </w:pPr>
      <w:r>
        <w:rPr>
          <w:rFonts w:hint="eastAsia"/>
        </w:rPr>
        <w:lastRenderedPageBreak/>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15</w:t>
      </w:r>
      <w:r w:rsidR="00593347">
        <w:fldChar w:fldCharType="end"/>
      </w:r>
      <w:r>
        <w:rPr>
          <w:rFonts w:hint="eastAsia"/>
        </w:rPr>
        <w:t>：</w:t>
      </w:r>
      <w:r w:rsidRPr="00762279">
        <w:rPr>
          <w:rFonts w:hint="eastAsia"/>
        </w:rPr>
        <w:t>货币增速、社会融资总量与新增贷款</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3043EA" w:rsidTr="00E524EB">
        <w:trPr>
          <w:cantSplit/>
          <w:trHeight w:val="3629"/>
        </w:trPr>
        <w:tc>
          <w:tcPr>
            <w:tcW w:w="9498" w:type="dxa"/>
          </w:tcPr>
          <w:p w:rsidR="003043EA" w:rsidRDefault="003043EA" w:rsidP="00E524EB">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97152" behindDoc="0" locked="0" layoutInCell="1" allowOverlap="1">
                  <wp:simplePos x="0" y="0"/>
                  <wp:positionH relativeFrom="column">
                    <wp:posOffset>3064510</wp:posOffset>
                  </wp:positionH>
                  <wp:positionV relativeFrom="paragraph">
                    <wp:posOffset>53340</wp:posOffset>
                  </wp:positionV>
                  <wp:extent cx="2891155" cy="2182495"/>
                  <wp:effectExtent l="19050" t="0" r="4445"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891155" cy="2182495"/>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96128" behindDoc="0" locked="0" layoutInCell="1" allowOverlap="1">
                  <wp:simplePos x="0" y="0"/>
                  <wp:positionH relativeFrom="column">
                    <wp:posOffset>-49530</wp:posOffset>
                  </wp:positionH>
                  <wp:positionV relativeFrom="paragraph">
                    <wp:posOffset>53340</wp:posOffset>
                  </wp:positionV>
                  <wp:extent cx="3044825" cy="2182495"/>
                  <wp:effectExtent l="19050" t="0" r="317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044825" cy="2182495"/>
                          </a:xfrm>
                          <a:prstGeom prst="rect">
                            <a:avLst/>
                          </a:prstGeom>
                          <a:noFill/>
                          <a:ln w="9525">
                            <a:noFill/>
                            <a:miter lim="800000"/>
                            <a:headEnd/>
                            <a:tailEnd/>
                          </a:ln>
                        </pic:spPr>
                      </pic:pic>
                    </a:graphicData>
                  </a:graphic>
                </wp:anchor>
              </w:drawing>
            </w:r>
          </w:p>
        </w:tc>
      </w:tr>
      <w:tr w:rsidR="003043EA" w:rsidTr="00E524EB">
        <w:tblPrEx>
          <w:tblCellMar>
            <w:left w:w="0" w:type="dxa"/>
            <w:right w:w="0" w:type="dxa"/>
          </w:tblCellMar>
        </w:tblPrEx>
        <w:trPr>
          <w:cantSplit/>
        </w:trPr>
        <w:tc>
          <w:tcPr>
            <w:tcW w:w="9498" w:type="dxa"/>
          </w:tcPr>
          <w:p w:rsidR="003043EA" w:rsidRPr="00F6467B" w:rsidRDefault="003043EA" w:rsidP="00E524EB">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13AA0" w:rsidRDefault="00413AA0" w:rsidP="003043EA">
      <w:pPr>
        <w:spacing w:before="312" w:after="312"/>
        <w:rPr>
          <w:lang w:bidi="en-US"/>
        </w:rPr>
      </w:pPr>
      <w:r w:rsidRPr="00413AA0">
        <w:rPr>
          <w:rFonts w:hint="eastAsia"/>
          <w:lang w:bidi="en-US"/>
        </w:rPr>
        <w:t>1</w:t>
      </w:r>
      <w:r w:rsidRPr="00413AA0">
        <w:rPr>
          <w:rFonts w:hint="eastAsia"/>
          <w:lang w:bidi="en-US"/>
        </w:rPr>
        <w:t>月，新增人民币贷款</w:t>
      </w:r>
      <w:r w:rsidRPr="00413AA0">
        <w:rPr>
          <w:rFonts w:hint="eastAsia"/>
          <w:lang w:bidi="en-US"/>
        </w:rPr>
        <w:t>2.03</w:t>
      </w:r>
      <w:r w:rsidRPr="00413AA0">
        <w:rPr>
          <w:rFonts w:hint="eastAsia"/>
          <w:lang w:bidi="en-US"/>
        </w:rPr>
        <w:t>万亿元（预期</w:t>
      </w:r>
      <w:r w:rsidRPr="00413AA0">
        <w:rPr>
          <w:rFonts w:hint="eastAsia"/>
          <w:lang w:bidi="en-US"/>
        </w:rPr>
        <w:t>2.44</w:t>
      </w:r>
      <w:r w:rsidRPr="00413AA0">
        <w:rPr>
          <w:rFonts w:hint="eastAsia"/>
          <w:lang w:bidi="en-US"/>
        </w:rPr>
        <w:t>万亿元，前值</w:t>
      </w:r>
      <w:r w:rsidRPr="00413AA0">
        <w:rPr>
          <w:rFonts w:hint="eastAsia"/>
          <w:lang w:bidi="en-US"/>
        </w:rPr>
        <w:t>1.04</w:t>
      </w:r>
      <w:r w:rsidRPr="00413AA0">
        <w:rPr>
          <w:rFonts w:hint="eastAsia"/>
          <w:lang w:bidi="en-US"/>
        </w:rPr>
        <w:t>万亿元）；社会融资规模增量</w:t>
      </w:r>
      <w:r w:rsidRPr="00413AA0">
        <w:rPr>
          <w:rFonts w:hint="eastAsia"/>
          <w:lang w:bidi="en-US"/>
        </w:rPr>
        <w:t>3.74</w:t>
      </w:r>
      <w:r w:rsidRPr="00413AA0">
        <w:rPr>
          <w:rFonts w:hint="eastAsia"/>
          <w:lang w:bidi="en-US"/>
        </w:rPr>
        <w:t>万亿元（预期</w:t>
      </w:r>
      <w:r w:rsidRPr="00413AA0">
        <w:rPr>
          <w:rFonts w:hint="eastAsia"/>
          <w:lang w:bidi="en-US"/>
        </w:rPr>
        <w:t>3</w:t>
      </w:r>
      <w:r w:rsidRPr="00413AA0">
        <w:rPr>
          <w:rFonts w:hint="eastAsia"/>
          <w:lang w:bidi="en-US"/>
        </w:rPr>
        <w:t>万亿元，前值</w:t>
      </w:r>
      <w:r w:rsidRPr="00413AA0">
        <w:rPr>
          <w:rFonts w:hint="eastAsia"/>
          <w:lang w:bidi="en-US"/>
        </w:rPr>
        <w:t>1.63</w:t>
      </w:r>
      <w:r w:rsidRPr="00413AA0">
        <w:rPr>
          <w:rFonts w:hint="eastAsia"/>
          <w:lang w:bidi="en-US"/>
        </w:rPr>
        <w:t>万亿元）。</w:t>
      </w:r>
      <w:r w:rsidRPr="00413AA0">
        <w:rPr>
          <w:rFonts w:hint="eastAsia"/>
          <w:lang w:bidi="en-US"/>
        </w:rPr>
        <w:t>1</w:t>
      </w:r>
      <w:r w:rsidRPr="00413AA0">
        <w:rPr>
          <w:rFonts w:hint="eastAsia"/>
          <w:lang w:bidi="en-US"/>
        </w:rPr>
        <w:t>月，</w:t>
      </w:r>
      <w:r w:rsidRPr="00413AA0">
        <w:rPr>
          <w:rFonts w:hint="eastAsia"/>
          <w:lang w:bidi="en-US"/>
        </w:rPr>
        <w:t>M0</w:t>
      </w:r>
      <w:r w:rsidRPr="00413AA0">
        <w:rPr>
          <w:rFonts w:hint="eastAsia"/>
          <w:lang w:bidi="en-US"/>
        </w:rPr>
        <w:t>同比增长</w:t>
      </w:r>
      <w:r w:rsidRPr="00413AA0">
        <w:rPr>
          <w:rFonts w:hint="eastAsia"/>
          <w:lang w:bidi="en-US"/>
        </w:rPr>
        <w:t>19.4%</w:t>
      </w:r>
      <w:r w:rsidRPr="00413AA0">
        <w:rPr>
          <w:rFonts w:hint="eastAsia"/>
          <w:lang w:bidi="en-US"/>
        </w:rPr>
        <w:t>（预期</w:t>
      </w:r>
      <w:r w:rsidRPr="00413AA0">
        <w:rPr>
          <w:rFonts w:hint="eastAsia"/>
          <w:lang w:bidi="en-US"/>
        </w:rPr>
        <w:t>8.9%</w:t>
      </w:r>
      <w:r w:rsidRPr="00413AA0">
        <w:rPr>
          <w:rFonts w:hint="eastAsia"/>
          <w:lang w:bidi="en-US"/>
        </w:rPr>
        <w:t>，前值</w:t>
      </w:r>
      <w:r w:rsidRPr="00413AA0">
        <w:rPr>
          <w:rFonts w:hint="eastAsia"/>
          <w:lang w:bidi="en-US"/>
        </w:rPr>
        <w:t>8.1%</w:t>
      </w:r>
      <w:r w:rsidRPr="00413AA0">
        <w:rPr>
          <w:rFonts w:hint="eastAsia"/>
          <w:lang w:bidi="en-US"/>
        </w:rPr>
        <w:t>）；</w:t>
      </w:r>
      <w:r w:rsidRPr="00413AA0">
        <w:rPr>
          <w:rFonts w:hint="eastAsia"/>
          <w:lang w:bidi="en-US"/>
        </w:rPr>
        <w:t>M1</w:t>
      </w:r>
      <w:r w:rsidRPr="00413AA0">
        <w:rPr>
          <w:rFonts w:hint="eastAsia"/>
          <w:lang w:bidi="en-US"/>
        </w:rPr>
        <w:t>同比增长</w:t>
      </w:r>
      <w:r w:rsidRPr="00413AA0">
        <w:rPr>
          <w:rFonts w:hint="eastAsia"/>
          <w:lang w:bidi="en-US"/>
        </w:rPr>
        <w:t>14.5%</w:t>
      </w:r>
      <w:r w:rsidRPr="00413AA0">
        <w:rPr>
          <w:rFonts w:hint="eastAsia"/>
          <w:lang w:bidi="en-US"/>
        </w:rPr>
        <w:t>（预期</w:t>
      </w:r>
      <w:r w:rsidRPr="00413AA0">
        <w:rPr>
          <w:rFonts w:hint="eastAsia"/>
          <w:lang w:bidi="en-US"/>
        </w:rPr>
        <w:t>20.2%</w:t>
      </w:r>
      <w:r w:rsidRPr="00413AA0">
        <w:rPr>
          <w:rFonts w:hint="eastAsia"/>
          <w:lang w:bidi="en-US"/>
        </w:rPr>
        <w:t>，前值</w:t>
      </w:r>
      <w:r w:rsidRPr="00413AA0">
        <w:rPr>
          <w:rFonts w:hint="eastAsia"/>
          <w:lang w:bidi="en-US"/>
        </w:rPr>
        <w:t>21.4%</w:t>
      </w:r>
      <w:r w:rsidRPr="00413AA0">
        <w:rPr>
          <w:rFonts w:hint="eastAsia"/>
          <w:lang w:bidi="en-US"/>
        </w:rPr>
        <w:t>）；</w:t>
      </w:r>
      <w:r w:rsidRPr="00413AA0">
        <w:rPr>
          <w:rFonts w:hint="eastAsia"/>
          <w:lang w:bidi="en-US"/>
        </w:rPr>
        <w:t>M2</w:t>
      </w:r>
      <w:r w:rsidRPr="00413AA0">
        <w:rPr>
          <w:rFonts w:hint="eastAsia"/>
          <w:lang w:bidi="en-US"/>
        </w:rPr>
        <w:t>同比增长</w:t>
      </w:r>
      <w:r w:rsidRPr="00413AA0">
        <w:rPr>
          <w:rFonts w:hint="eastAsia"/>
          <w:lang w:bidi="en-US"/>
        </w:rPr>
        <w:t>11.3%</w:t>
      </w:r>
      <w:r w:rsidRPr="00413AA0">
        <w:rPr>
          <w:rFonts w:hint="eastAsia"/>
          <w:lang w:bidi="en-US"/>
        </w:rPr>
        <w:t>（预期</w:t>
      </w:r>
      <w:r w:rsidRPr="00413AA0">
        <w:rPr>
          <w:rFonts w:hint="eastAsia"/>
          <w:lang w:bidi="en-US"/>
        </w:rPr>
        <w:t>11.3%</w:t>
      </w:r>
      <w:r w:rsidRPr="00413AA0">
        <w:rPr>
          <w:rFonts w:hint="eastAsia"/>
          <w:lang w:bidi="en-US"/>
        </w:rPr>
        <w:t>，前值</w:t>
      </w:r>
      <w:r w:rsidRPr="00413AA0">
        <w:rPr>
          <w:rFonts w:hint="eastAsia"/>
          <w:lang w:bidi="en-US"/>
        </w:rPr>
        <w:t>11.3%</w:t>
      </w:r>
      <w:r w:rsidRPr="00413AA0">
        <w:rPr>
          <w:rFonts w:hint="eastAsia"/>
          <w:lang w:bidi="en-US"/>
        </w:rPr>
        <w:t>）。</w:t>
      </w:r>
    </w:p>
    <w:p w:rsidR="003043EA" w:rsidRDefault="00413AA0" w:rsidP="003043EA">
      <w:pPr>
        <w:spacing w:before="312" w:after="312"/>
        <w:rPr>
          <w:lang w:bidi="en-US"/>
        </w:rPr>
      </w:pPr>
      <w:r>
        <w:rPr>
          <w:rFonts w:hint="eastAsia"/>
          <w:lang w:bidi="en-US"/>
        </w:rPr>
        <w:t>新增人民币贷款增速不及预期，成为历史单月第二高的记录，主要是由于票据融资大幅缩水导致。社会融资规模超预期大增，主要得益于表外业务大增。由于银行被窗口指导，压制表内业务，因此均纷纷转向表外票据、</w:t>
      </w:r>
      <w:r w:rsidRPr="00413AA0">
        <w:rPr>
          <w:lang w:bidi="en-US"/>
        </w:rPr>
        <w:t>信托贷款和委托贷款</w:t>
      </w:r>
      <w:r>
        <w:rPr>
          <w:rFonts w:hint="eastAsia"/>
          <w:lang w:bidi="en-US"/>
        </w:rPr>
        <w:t>等表外业务。</w:t>
      </w:r>
      <w:r w:rsidR="00021A39" w:rsidRPr="00021A39">
        <w:rPr>
          <w:rFonts w:hint="eastAsia"/>
          <w:lang w:bidi="en-US"/>
        </w:rPr>
        <w:t>本月</w:t>
      </w:r>
      <w:r w:rsidR="00021A39" w:rsidRPr="00021A39">
        <w:rPr>
          <w:rFonts w:hint="eastAsia"/>
          <w:lang w:bidi="en-US"/>
        </w:rPr>
        <w:t>M1M2</w:t>
      </w:r>
      <w:r w:rsidR="00021A39" w:rsidRPr="00021A39">
        <w:rPr>
          <w:rFonts w:hint="eastAsia"/>
          <w:lang w:bidi="en-US"/>
        </w:rPr>
        <w:t>剪刀差为</w:t>
      </w:r>
      <w:r w:rsidR="00021A39" w:rsidRPr="00021A39">
        <w:rPr>
          <w:rFonts w:hint="eastAsia"/>
          <w:lang w:bidi="en-US"/>
        </w:rPr>
        <w:t>3.2%</w:t>
      </w:r>
      <w:r w:rsidR="00021A39" w:rsidRPr="00021A39">
        <w:rPr>
          <w:rFonts w:hint="eastAsia"/>
          <w:lang w:bidi="en-US"/>
        </w:rPr>
        <w:t>，大幅收窄，远低于预期中的</w:t>
      </w:r>
      <w:r w:rsidR="00021A39" w:rsidRPr="00021A39">
        <w:rPr>
          <w:rFonts w:hint="eastAsia"/>
          <w:lang w:bidi="en-US"/>
        </w:rPr>
        <w:t>8.9%</w:t>
      </w:r>
      <w:r w:rsidR="00021A39" w:rsidRPr="00021A39">
        <w:rPr>
          <w:rFonts w:hint="eastAsia"/>
          <w:lang w:bidi="en-US"/>
        </w:rPr>
        <w:t>。这一方面是因为春节居民对于现金需求较高，另一方面也是楼市政策收紧后，地产销售下滑，居民购房热情大减，降低了资金的流动程度。</w:t>
      </w:r>
    </w:p>
    <w:p w:rsidR="00413AA0" w:rsidRDefault="00413AA0" w:rsidP="003043EA">
      <w:pPr>
        <w:spacing w:before="312" w:after="312"/>
        <w:rPr>
          <w:lang w:bidi="en-US"/>
        </w:rPr>
      </w:pPr>
    </w:p>
    <w:p w:rsidR="003043EA" w:rsidRDefault="003043EA" w:rsidP="003043EA">
      <w:pPr>
        <w:spacing w:before="312" w:after="312"/>
        <w:rPr>
          <w:lang w:bidi="en-US"/>
        </w:rPr>
      </w:pPr>
    </w:p>
    <w:p w:rsidR="003043EA" w:rsidRDefault="003043EA" w:rsidP="00692620">
      <w:pPr>
        <w:pStyle w:val="2"/>
        <w:spacing w:before="312" w:after="312"/>
      </w:pPr>
    </w:p>
    <w:p w:rsidR="003043EA" w:rsidRDefault="003043EA" w:rsidP="003043EA">
      <w:pPr>
        <w:spacing w:before="312" w:after="312"/>
      </w:pPr>
    </w:p>
    <w:p w:rsidR="003043EA" w:rsidRDefault="003043EA" w:rsidP="003043EA">
      <w:pPr>
        <w:spacing w:before="312" w:after="312"/>
      </w:pPr>
    </w:p>
    <w:p w:rsidR="003043EA" w:rsidRPr="003043EA" w:rsidRDefault="003043EA" w:rsidP="003043EA">
      <w:pPr>
        <w:spacing w:before="312" w:after="312"/>
      </w:pPr>
    </w:p>
    <w:p w:rsidR="00692620" w:rsidRPr="0069597E" w:rsidRDefault="00692620" w:rsidP="00692620">
      <w:pPr>
        <w:pStyle w:val="2"/>
        <w:spacing w:before="312" w:after="312"/>
      </w:pPr>
      <w:r w:rsidRPr="0069597E">
        <w:lastRenderedPageBreak/>
        <w:t>三、</w:t>
      </w:r>
      <w:r w:rsidR="003043EA">
        <w:rPr>
          <w:rFonts w:hint="eastAsia"/>
        </w:rPr>
        <w:t>货币政策回顾与前瞻：</w:t>
      </w:r>
      <w:r w:rsidR="003D4F25">
        <w:rPr>
          <w:rFonts w:hint="eastAsia"/>
        </w:rPr>
        <w:t>央行变相加息，</w:t>
      </w:r>
      <w:r w:rsidR="00CD2823">
        <w:rPr>
          <w:rFonts w:hint="eastAsia"/>
        </w:rPr>
        <w:t>挤压泡沫</w:t>
      </w:r>
    </w:p>
    <w:p w:rsidR="00692620" w:rsidRDefault="003043EA" w:rsidP="003043EA">
      <w:pPr>
        <w:pStyle w:val="ae"/>
        <w:ind w:leftChars="-1012" w:left="-2125"/>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16</w:t>
      </w:r>
      <w:r w:rsidR="00593347">
        <w:fldChar w:fldCharType="end"/>
      </w:r>
      <w:r>
        <w:rPr>
          <w:rFonts w:hint="eastAsia"/>
        </w:rPr>
        <w:t>：</w:t>
      </w:r>
      <w:r w:rsidRPr="003238D8">
        <w:rPr>
          <w:rFonts w:hint="eastAsia"/>
        </w:rPr>
        <w:t>短期货币市场利率、央行逆回购</w:t>
      </w:r>
      <w:r w:rsidR="00B958B1">
        <w:rPr>
          <w:rFonts w:hint="eastAsia"/>
        </w:rPr>
        <w:t>利率</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692620" w:rsidTr="002215A2">
        <w:trPr>
          <w:cantSplit/>
          <w:trHeight w:val="3629"/>
        </w:trPr>
        <w:tc>
          <w:tcPr>
            <w:tcW w:w="9498" w:type="dxa"/>
          </w:tcPr>
          <w:p w:rsidR="00692620" w:rsidRDefault="00B958B1" w:rsidP="002215A2">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716608" behindDoc="0" locked="0" layoutInCell="1" allowOverlap="1">
                  <wp:simplePos x="0" y="0"/>
                  <wp:positionH relativeFrom="column">
                    <wp:posOffset>3007068</wp:posOffset>
                  </wp:positionH>
                  <wp:positionV relativeFrom="paragraph">
                    <wp:posOffset>31321</wp:posOffset>
                  </wp:positionV>
                  <wp:extent cx="2921858" cy="2288711"/>
                  <wp:effectExtent l="19050" t="0" r="0" b="0"/>
                  <wp:wrapNone/>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2925600" cy="2291642"/>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715584" behindDoc="0" locked="0" layoutInCell="1" allowOverlap="1">
                  <wp:simplePos x="0" y="0"/>
                  <wp:positionH relativeFrom="column">
                    <wp:posOffset>-49170</wp:posOffset>
                  </wp:positionH>
                  <wp:positionV relativeFrom="paragraph">
                    <wp:posOffset>56034</wp:posOffset>
                  </wp:positionV>
                  <wp:extent cx="3053664" cy="2265406"/>
                  <wp:effectExtent l="19050" t="0" r="0" b="0"/>
                  <wp:wrapNone/>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3053664" cy="2265406"/>
                          </a:xfrm>
                          <a:prstGeom prst="rect">
                            <a:avLst/>
                          </a:prstGeom>
                          <a:noFill/>
                          <a:ln w="9525">
                            <a:noFill/>
                            <a:miter lim="800000"/>
                            <a:headEnd/>
                            <a:tailEnd/>
                          </a:ln>
                        </pic:spPr>
                      </pic:pic>
                    </a:graphicData>
                  </a:graphic>
                </wp:anchor>
              </w:drawing>
            </w:r>
          </w:p>
        </w:tc>
      </w:tr>
      <w:tr w:rsidR="00692620" w:rsidTr="002215A2">
        <w:tblPrEx>
          <w:tblCellMar>
            <w:left w:w="0" w:type="dxa"/>
            <w:right w:w="0" w:type="dxa"/>
          </w:tblCellMar>
        </w:tblPrEx>
        <w:trPr>
          <w:cantSplit/>
        </w:trPr>
        <w:tc>
          <w:tcPr>
            <w:tcW w:w="9498" w:type="dxa"/>
          </w:tcPr>
          <w:p w:rsidR="00692620" w:rsidRPr="00F6467B" w:rsidRDefault="00692620" w:rsidP="002215A2">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2620" w:rsidRDefault="00D64FB5" w:rsidP="00692620">
      <w:pPr>
        <w:spacing w:before="312" w:after="312"/>
        <w:rPr>
          <w:lang w:bidi="en-US"/>
        </w:rPr>
      </w:pPr>
      <w:r>
        <w:rPr>
          <w:rFonts w:hint="eastAsia"/>
          <w:lang w:bidi="en-US"/>
        </w:rPr>
        <w:t>进入</w:t>
      </w:r>
      <w:r>
        <w:rPr>
          <w:rFonts w:hint="eastAsia"/>
          <w:lang w:bidi="en-US"/>
        </w:rPr>
        <w:t>2017</w:t>
      </w:r>
      <w:r>
        <w:rPr>
          <w:rFonts w:hint="eastAsia"/>
          <w:lang w:bidi="en-US"/>
        </w:rPr>
        <w:t>年后央行突然收紧货币政策</w:t>
      </w:r>
      <w:r w:rsidR="00B958B1">
        <w:rPr>
          <w:rFonts w:hint="eastAsia"/>
          <w:lang w:bidi="en-US"/>
        </w:rPr>
        <w:t>，</w:t>
      </w:r>
      <w:r>
        <w:rPr>
          <w:rFonts w:hint="eastAsia"/>
          <w:lang w:bidi="en-US"/>
        </w:rPr>
        <w:t>密集地</w:t>
      </w:r>
      <w:r w:rsidR="00B958B1">
        <w:rPr>
          <w:rFonts w:hint="eastAsia"/>
          <w:lang w:bidi="en-US"/>
        </w:rPr>
        <w:t>花式变相加息。</w:t>
      </w:r>
      <w:r>
        <w:rPr>
          <w:rFonts w:hint="eastAsia"/>
          <w:lang w:bidi="en-US"/>
        </w:rPr>
        <w:t>首先在</w:t>
      </w:r>
      <w:r>
        <w:rPr>
          <w:rFonts w:hint="eastAsia"/>
          <w:lang w:bidi="en-US"/>
        </w:rPr>
        <w:t>1</w:t>
      </w:r>
      <w:r>
        <w:rPr>
          <w:rFonts w:hint="eastAsia"/>
          <w:lang w:bidi="en-US"/>
        </w:rPr>
        <w:t>月</w:t>
      </w:r>
      <w:r>
        <w:rPr>
          <w:rFonts w:hint="eastAsia"/>
          <w:lang w:bidi="en-US"/>
        </w:rPr>
        <w:t>24</w:t>
      </w:r>
      <w:r>
        <w:rPr>
          <w:rFonts w:hint="eastAsia"/>
          <w:lang w:bidi="en-US"/>
        </w:rPr>
        <w:t>日将中期借贷便利的中标利率上调</w:t>
      </w:r>
      <w:r>
        <w:rPr>
          <w:rFonts w:hint="eastAsia"/>
          <w:lang w:bidi="en-US"/>
        </w:rPr>
        <w:t>10BP</w:t>
      </w:r>
      <w:r>
        <w:rPr>
          <w:rFonts w:hint="eastAsia"/>
          <w:lang w:bidi="en-US"/>
        </w:rPr>
        <w:t>，随后在春节前的最后一天再度上调逆回购利率和常备借贷便利的利率。自从去年</w:t>
      </w:r>
      <w:r>
        <w:rPr>
          <w:rFonts w:hint="eastAsia"/>
          <w:lang w:bidi="en-US"/>
        </w:rPr>
        <w:t>8</w:t>
      </w:r>
      <w:r>
        <w:rPr>
          <w:rFonts w:hint="eastAsia"/>
          <w:lang w:bidi="en-US"/>
        </w:rPr>
        <w:t>月份央行重启</w:t>
      </w:r>
      <w:r>
        <w:rPr>
          <w:rFonts w:hint="eastAsia"/>
          <w:lang w:bidi="en-US"/>
        </w:rPr>
        <w:t>28</w:t>
      </w:r>
      <w:r>
        <w:rPr>
          <w:rFonts w:hint="eastAsia"/>
          <w:lang w:bidi="en-US"/>
        </w:rPr>
        <w:t>天逆回购开始，央行的货币政策已经开始出现了转向的信号。而年末由于资金面紧张以及债市萝卜章事件，央行投放了巨量的逆回购，使得市场一度产生央行将已维稳为主。而突然地变相加息使得市场措手不及。从央行着重提高短期资金利率的政策来看，央行锁短放长的意图非常明显。由于过去几年极低的利率使得债市可以远远不断地获得成本极其低廉的资金，债市牛市泡沫得以不断放大。而近期央行一系列动作的意图也是非常明显，就是要刺破债市泡沫，挤压债市规模，引导资金流入实体经济。短期资金利率不断上行，持有债券成本提高将迫使资金流出债市，同时稳定中长期利率也使得挤压债市泡沫不会对实体经济资金需求产生消极的影响。</w:t>
      </w:r>
      <w:r w:rsidR="00A95FAB">
        <w:rPr>
          <w:rFonts w:hint="eastAsia"/>
          <w:lang w:bidi="en-US"/>
        </w:rPr>
        <w:t>同时考虑到高通胀风险较低，因此央行近期的政策不能引申为加息的前奏。</w:t>
      </w:r>
    </w:p>
    <w:p w:rsidR="00FC6DE5" w:rsidRDefault="00FC6DE5" w:rsidP="00692620">
      <w:pPr>
        <w:spacing w:before="312" w:after="312"/>
        <w:rPr>
          <w:lang w:bidi="en-US"/>
        </w:rPr>
      </w:pPr>
    </w:p>
    <w:p w:rsidR="00FC6DE5" w:rsidRPr="00683E32" w:rsidRDefault="00FC6DE5" w:rsidP="00692620">
      <w:pPr>
        <w:spacing w:before="312" w:after="312"/>
        <w:rPr>
          <w:lang w:bidi="en-US"/>
        </w:rPr>
      </w:pPr>
    </w:p>
    <w:p w:rsidR="00692620" w:rsidRDefault="00692620" w:rsidP="00692620">
      <w:pPr>
        <w:pStyle w:val="ae"/>
        <w:ind w:leftChars="-1012" w:left="-2125"/>
      </w:pPr>
    </w:p>
    <w:p w:rsidR="00692620" w:rsidRDefault="00692620" w:rsidP="00692620">
      <w:pPr>
        <w:pStyle w:val="ae"/>
        <w:ind w:leftChars="-1012" w:left="-2125"/>
      </w:pPr>
    </w:p>
    <w:p w:rsidR="00692620" w:rsidRDefault="00692620" w:rsidP="00692620">
      <w:pPr>
        <w:pStyle w:val="ae"/>
        <w:ind w:leftChars="-1012" w:left="-2125"/>
      </w:pPr>
    </w:p>
    <w:p w:rsidR="00692620" w:rsidRDefault="00692620" w:rsidP="00692620">
      <w:pPr>
        <w:pStyle w:val="ae"/>
        <w:ind w:leftChars="-1012" w:left="-2125"/>
      </w:pPr>
    </w:p>
    <w:p w:rsidR="00692620" w:rsidRPr="005D54A0" w:rsidRDefault="00692620" w:rsidP="00692620">
      <w:pPr>
        <w:pStyle w:val="2"/>
        <w:spacing w:before="312" w:after="312"/>
        <w:rPr>
          <w:rFonts w:asciiTheme="majorEastAsia" w:hAnsiTheme="majorEastAsia"/>
          <w:szCs w:val="21"/>
          <w:lang w:bidi="en-US"/>
        </w:rPr>
      </w:pPr>
      <w:r w:rsidRPr="005D54A0">
        <w:rPr>
          <w:rFonts w:asciiTheme="majorEastAsia" w:hAnsiTheme="majorEastAsia" w:hint="eastAsia"/>
          <w:szCs w:val="21"/>
          <w:lang w:bidi="en-US"/>
        </w:rPr>
        <w:lastRenderedPageBreak/>
        <w:t>四、</w:t>
      </w:r>
      <w:r w:rsidR="00F47777" w:rsidRPr="00F47777">
        <w:rPr>
          <w:rFonts w:asciiTheme="majorEastAsia" w:hAnsiTheme="majorEastAsia" w:hint="eastAsia"/>
          <w:szCs w:val="21"/>
          <w:lang w:bidi="en-US"/>
        </w:rPr>
        <w:t>未来行情研判与投资策略：</w:t>
      </w:r>
      <w:r w:rsidR="008C7968">
        <w:rPr>
          <w:rFonts w:asciiTheme="majorEastAsia" w:hAnsiTheme="majorEastAsia" w:hint="eastAsia"/>
          <w:szCs w:val="21"/>
          <w:lang w:bidi="en-US"/>
        </w:rPr>
        <w:t>反弹空间有限，后市将遇阻回落</w:t>
      </w:r>
    </w:p>
    <w:p w:rsidR="00692620" w:rsidRDefault="00692620" w:rsidP="00692620">
      <w:pPr>
        <w:pStyle w:val="ae"/>
      </w:pPr>
      <w:r>
        <w:rPr>
          <w:rFonts w:hint="eastAsia"/>
        </w:rPr>
        <w:t>图</w:t>
      </w:r>
      <w:r w:rsidR="00593347">
        <w:fldChar w:fldCharType="begin"/>
      </w:r>
      <w:r>
        <w:rPr>
          <w:rFonts w:hint="eastAsia"/>
        </w:rPr>
        <w:instrText xml:space="preserve">SEQ </w:instrText>
      </w:r>
      <w:r>
        <w:rPr>
          <w:rFonts w:hint="eastAsia"/>
        </w:rPr>
        <w:instrText>图</w:instrText>
      </w:r>
      <w:r>
        <w:rPr>
          <w:rFonts w:hint="eastAsia"/>
        </w:rPr>
        <w:instrText xml:space="preserve"> \* ARABIC</w:instrText>
      </w:r>
      <w:r w:rsidR="00593347">
        <w:fldChar w:fldCharType="separate"/>
      </w:r>
      <w:r w:rsidR="006537E4">
        <w:rPr>
          <w:noProof/>
        </w:rPr>
        <w:t>17</w:t>
      </w:r>
      <w:r w:rsidR="00593347">
        <w:fldChar w:fldCharType="end"/>
      </w:r>
      <w:r>
        <w:rPr>
          <w:rFonts w:hint="eastAsia"/>
        </w:rPr>
        <w:t>：</w:t>
      </w:r>
      <w:r w:rsidR="006537E4">
        <w:rPr>
          <w:rFonts w:hint="eastAsia"/>
        </w:rPr>
        <w:t>十年期国债期货</w:t>
      </w:r>
      <w:r>
        <w:rPr>
          <w:rFonts w:hint="eastAsia"/>
        </w:rP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692620" w:rsidTr="002215A2">
        <w:trPr>
          <w:cantSplit/>
          <w:trHeight w:val="3632"/>
        </w:trPr>
        <w:tc>
          <w:tcPr>
            <w:tcW w:w="7416" w:type="dxa"/>
          </w:tcPr>
          <w:p w:rsidR="00692620" w:rsidRDefault="008C7968" w:rsidP="002215A2">
            <w:pPr>
              <w:widowControl/>
              <w:spacing w:beforeLines="0" w:afterLines="0" w:line="240" w:lineRule="auto"/>
              <w:jc w:val="left"/>
              <w:rPr>
                <w:rFonts w:ascii="宋体" w:hAnsi="宋体"/>
                <w:bCs/>
                <w:szCs w:val="21"/>
                <w:lang w:bidi="en-US"/>
              </w:rPr>
            </w:pPr>
            <w:r>
              <w:rPr>
                <w:rFonts w:ascii="宋体" w:hAnsi="宋体"/>
                <w:bCs/>
                <w:noProof/>
                <w:szCs w:val="21"/>
              </w:rPr>
              <w:drawing>
                <wp:anchor distT="0" distB="0" distL="114300" distR="114300" simplePos="0" relativeHeight="251717632" behindDoc="0" locked="0" layoutInCell="1" allowOverlap="1">
                  <wp:simplePos x="0" y="0"/>
                  <wp:positionH relativeFrom="column">
                    <wp:posOffset>17094</wp:posOffset>
                  </wp:positionH>
                  <wp:positionV relativeFrom="paragraph">
                    <wp:posOffset>6606</wp:posOffset>
                  </wp:positionV>
                  <wp:extent cx="4708198" cy="2215979"/>
                  <wp:effectExtent l="19050" t="0" r="0" b="0"/>
                  <wp:wrapNone/>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4708198" cy="2215979"/>
                          </a:xfrm>
                          <a:prstGeom prst="rect">
                            <a:avLst/>
                          </a:prstGeom>
                          <a:noFill/>
                          <a:ln w="9525">
                            <a:noFill/>
                            <a:miter lim="800000"/>
                            <a:headEnd/>
                            <a:tailEnd/>
                          </a:ln>
                        </pic:spPr>
                      </pic:pic>
                    </a:graphicData>
                  </a:graphic>
                </wp:anchor>
              </w:drawing>
            </w:r>
          </w:p>
        </w:tc>
      </w:tr>
      <w:tr w:rsidR="00692620" w:rsidTr="002215A2">
        <w:trPr>
          <w:cantSplit/>
        </w:trPr>
        <w:tc>
          <w:tcPr>
            <w:tcW w:w="7416" w:type="dxa"/>
          </w:tcPr>
          <w:p w:rsidR="00692620" w:rsidRPr="00C85F13" w:rsidRDefault="00692620" w:rsidP="002215A2">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2620" w:rsidRPr="00C256F1" w:rsidRDefault="003C392E" w:rsidP="00692620">
      <w:pPr>
        <w:spacing w:before="312" w:after="312"/>
        <w:rPr>
          <w:lang w:bidi="en-US"/>
        </w:rPr>
      </w:pPr>
      <w:r>
        <w:rPr>
          <w:rFonts w:hint="eastAsia"/>
          <w:lang w:bidi="en-US"/>
        </w:rPr>
        <w:t>国债期货</w:t>
      </w:r>
      <w:r w:rsidR="008C7968">
        <w:rPr>
          <w:rFonts w:hint="eastAsia"/>
          <w:lang w:bidi="en-US"/>
        </w:rPr>
        <w:t>在央行突然加息阶段完成迅速暴跌后探底回升并出现强劲的反弹。从走势看，期债走出双底走势，这主要是由于国债利率快速上升后距离贷款利率只有一步之遥。从理论看，只要贷款利率不变动，这将是国债利率的铁顶，也是国债价格的底部区域。而期债价格快速反弹后同样也面临着短期融资利率形成的难以突破的顶部区域。从央行的货币政策意图来看，</w:t>
      </w:r>
      <w:r w:rsidR="000D0E1F">
        <w:rPr>
          <w:rFonts w:hint="eastAsia"/>
          <w:lang w:bidi="en-US"/>
        </w:rPr>
        <w:t>一方面金融去杠杆和挤压债市泡沫使得短期资金利率抬升，另一方面宏观经济不振和较低的高通胀风险也使得央行不会进行真正意义上的加息，这也几乎为未来一段时间期债的走势画出了一个区间走廊。因此从目前期债强劲反弹，不断接近天花板来看，是不断逢高做空期债的一个较好的时间窗口。</w:t>
      </w:r>
    </w:p>
    <w:p w:rsidR="00560350" w:rsidRPr="00A71605" w:rsidRDefault="00560350" w:rsidP="00560350">
      <w:pPr>
        <w:pStyle w:val="2"/>
        <w:spacing w:before="312" w:after="312"/>
        <w:rPr>
          <w:rFonts w:asciiTheme="majorEastAsia" w:hAnsiTheme="majorEastAsia"/>
          <w:szCs w:val="21"/>
          <w:lang w:bidi="en-US"/>
        </w:rPr>
      </w:pPr>
      <w:r>
        <w:rPr>
          <w:rFonts w:asciiTheme="majorEastAsia" w:hAnsiTheme="majorEastAsia" w:hint="eastAsia"/>
          <w:szCs w:val="21"/>
          <w:lang w:bidi="en-US"/>
        </w:rPr>
        <w:t>五</w:t>
      </w:r>
      <w:r w:rsidRPr="005D54A0">
        <w:rPr>
          <w:rFonts w:asciiTheme="majorEastAsia" w:hAnsiTheme="majorEastAsia"/>
          <w:szCs w:val="21"/>
          <w:lang w:bidi="en-US"/>
        </w:rPr>
        <w:t>、风险分析</w:t>
      </w:r>
    </w:p>
    <w:p w:rsidR="00560350" w:rsidRDefault="00560350" w:rsidP="00560350">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560350" w:rsidRPr="00AE48B6" w:rsidRDefault="00560350" w:rsidP="00560350">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期债投机度过高，导致反弹突破前高</w:t>
      </w:r>
    </w:p>
    <w:p w:rsidR="00560350" w:rsidRDefault="00560350" w:rsidP="00560350">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经济增速超预期下滑，导致央行被迫再度转向宽松货币政策</w:t>
      </w:r>
    </w:p>
    <w:p w:rsidR="00560350" w:rsidRDefault="00560350" w:rsidP="00942988">
      <w:pPr>
        <w:widowControl/>
        <w:tabs>
          <w:tab w:val="left" w:pos="0"/>
        </w:tabs>
        <w:spacing w:before="312" w:after="312"/>
        <w:jc w:val="left"/>
        <w:rPr>
          <w:rFonts w:asciiTheme="majorEastAsia" w:eastAsiaTheme="majorEastAsia" w:hAnsiTheme="majorEastAsia"/>
          <w:bCs/>
          <w:szCs w:val="21"/>
          <w:lang w:bidi="en-US"/>
        </w:rPr>
      </w:pPr>
    </w:p>
    <w:p w:rsidR="00CE694A" w:rsidRDefault="00CE694A" w:rsidP="00942988">
      <w:pPr>
        <w:widowControl/>
        <w:tabs>
          <w:tab w:val="left" w:pos="0"/>
        </w:tabs>
        <w:spacing w:before="312" w:after="312"/>
        <w:jc w:val="left"/>
        <w:rPr>
          <w:rFonts w:asciiTheme="majorEastAsia" w:eastAsiaTheme="majorEastAsia" w:hAnsiTheme="majorEastAsia"/>
          <w:bCs/>
          <w:szCs w:val="21"/>
          <w:lang w:bidi="en-US"/>
        </w:rPr>
      </w:pP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593347">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E30984">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701" w:right="1077" w:bottom="1418" w:left="3402" w:header="709"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71A" w:rsidRDefault="0034771A" w:rsidP="00790017">
      <w:pPr>
        <w:spacing w:before="240" w:after="240"/>
      </w:pPr>
      <w:r>
        <w:separator/>
      </w:r>
    </w:p>
  </w:endnote>
  <w:endnote w:type="continuationSeparator" w:id="1">
    <w:p w:rsidR="0034771A" w:rsidRDefault="0034771A"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C85F13"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执趋势策略之矛，铸风险管理之盾，以时间为友，以信念为伴</w:t>
            </w:r>
            <w:r w:rsidR="00593347"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593347" w:rsidRPr="000A7BE5">
              <w:rPr>
                <w:rFonts w:ascii="微软雅黑" w:eastAsia="微软雅黑" w:hAnsi="微软雅黑"/>
                <w:b/>
                <w:bCs/>
                <w:color w:val="2E74B5" w:themeColor="accent1" w:themeShade="BF"/>
              </w:rPr>
              <w:fldChar w:fldCharType="separate"/>
            </w:r>
            <w:r w:rsidR="003D4F25">
              <w:rPr>
                <w:rFonts w:ascii="微软雅黑" w:eastAsia="微软雅黑" w:hAnsi="微软雅黑"/>
                <w:b/>
                <w:bCs/>
                <w:noProof/>
                <w:color w:val="2E74B5" w:themeColor="accent1" w:themeShade="BF"/>
              </w:rPr>
              <w:t>2</w:t>
            </w:r>
            <w:r w:rsidR="00593347"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40354F"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 xml:space="preserve">执趋势策略之矛，铸风险管理之盾，以时间为友，以信念为伴  </w:t>
            </w:r>
            <w:r w:rsidR="00593347"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593347" w:rsidRPr="000A7BE5">
              <w:rPr>
                <w:rFonts w:ascii="微软雅黑" w:eastAsia="微软雅黑" w:hAnsi="微软雅黑"/>
                <w:b/>
                <w:bCs/>
                <w:color w:val="2E74B5" w:themeColor="accent1" w:themeShade="BF"/>
              </w:rPr>
              <w:fldChar w:fldCharType="separate"/>
            </w:r>
            <w:r w:rsidR="003D4F25">
              <w:rPr>
                <w:rFonts w:ascii="微软雅黑" w:eastAsia="微软雅黑" w:hAnsi="微软雅黑"/>
                <w:b/>
                <w:bCs/>
                <w:noProof/>
                <w:color w:val="2E74B5" w:themeColor="accent1" w:themeShade="BF"/>
              </w:rPr>
              <w:t>1</w:t>
            </w:r>
            <w:r w:rsidR="00593347"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71A" w:rsidRDefault="0034771A" w:rsidP="00790017">
      <w:pPr>
        <w:spacing w:before="240" w:after="240"/>
      </w:pPr>
      <w:r>
        <w:separator/>
      </w:r>
    </w:p>
  </w:footnote>
  <w:footnote w:type="continuationSeparator" w:id="1">
    <w:p w:rsidR="0034771A" w:rsidRDefault="0034771A"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D7" w:rsidRPr="00F6467B" w:rsidRDefault="00852B6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28625"/>
                  </a:xfrm>
                  <a:prstGeom prst="rect">
                    <a:avLst/>
                  </a:prstGeom>
                  <a:noFill/>
                  <a:ln>
                    <a:noFill/>
                  </a:ln>
                </pic:spPr>
              </pic:pic>
            </a:graphicData>
          </a:graphic>
        </wp:anchor>
      </w:drawing>
    </w:r>
    <w:r w:rsidR="00E27CD7" w:rsidRPr="000A7BE5">
      <w:rPr>
        <w:rFonts w:ascii="微软雅黑" w:eastAsia="微软雅黑" w:hAnsi="微软雅黑" w:hint="eastAsia"/>
        <w:color w:val="2E74B5" w:themeColor="accent1" w:themeShade="BF"/>
      </w:rPr>
      <w:t>2016年1</w:t>
    </w:r>
    <w:r w:rsidR="00E27CD7" w:rsidRPr="000A7BE5">
      <w:rPr>
        <w:rFonts w:ascii="微软雅黑" w:eastAsia="微软雅黑" w:hAnsi="微软雅黑"/>
        <w:color w:val="2E74B5" w:themeColor="accent1" w:themeShade="BF"/>
      </w:rPr>
      <w:t>2</w:t>
    </w:r>
    <w:r w:rsidR="00E27CD7" w:rsidRPr="000A7BE5">
      <w:rPr>
        <w:rFonts w:ascii="微软雅黑" w:eastAsia="微软雅黑" w:hAnsi="微软雅黑" w:hint="eastAsia"/>
        <w:color w:val="2E74B5" w:themeColor="accent1" w:themeShade="BF"/>
      </w:rPr>
      <w:t>月月报 |</w:t>
    </w:r>
    <w:r w:rsidR="00161C59">
      <w:rPr>
        <w:rFonts w:ascii="微软雅黑" w:eastAsia="微软雅黑" w:hAnsi="微软雅黑" w:hint="eastAsia"/>
        <w:color w:val="2E74B5" w:themeColor="accent1" w:themeShade="BF"/>
      </w:rPr>
      <w:t>金融期货</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063C0"/>
    <w:rsid w:val="00015E14"/>
    <w:rsid w:val="00021A39"/>
    <w:rsid w:val="00022A57"/>
    <w:rsid w:val="000236A3"/>
    <w:rsid w:val="00023FB5"/>
    <w:rsid w:val="0002660D"/>
    <w:rsid w:val="0003202C"/>
    <w:rsid w:val="00037F48"/>
    <w:rsid w:val="00044456"/>
    <w:rsid w:val="00052687"/>
    <w:rsid w:val="0006364F"/>
    <w:rsid w:val="0007228C"/>
    <w:rsid w:val="00075350"/>
    <w:rsid w:val="00083FC9"/>
    <w:rsid w:val="00090B02"/>
    <w:rsid w:val="00091B09"/>
    <w:rsid w:val="000A369A"/>
    <w:rsid w:val="000A5671"/>
    <w:rsid w:val="000A7BE5"/>
    <w:rsid w:val="000C2FD0"/>
    <w:rsid w:val="000D0E1F"/>
    <w:rsid w:val="000D3CB9"/>
    <w:rsid w:val="000E0540"/>
    <w:rsid w:val="000E21EE"/>
    <w:rsid w:val="00100438"/>
    <w:rsid w:val="00101991"/>
    <w:rsid w:val="00112E81"/>
    <w:rsid w:val="00123269"/>
    <w:rsid w:val="00123389"/>
    <w:rsid w:val="00142418"/>
    <w:rsid w:val="001511FE"/>
    <w:rsid w:val="00161C59"/>
    <w:rsid w:val="00173CC9"/>
    <w:rsid w:val="001752F8"/>
    <w:rsid w:val="001753C5"/>
    <w:rsid w:val="001813B0"/>
    <w:rsid w:val="00182A33"/>
    <w:rsid w:val="001836D1"/>
    <w:rsid w:val="00183AA8"/>
    <w:rsid w:val="00192965"/>
    <w:rsid w:val="001A2386"/>
    <w:rsid w:val="001B4553"/>
    <w:rsid w:val="001B54D4"/>
    <w:rsid w:val="001C06CB"/>
    <w:rsid w:val="001C3177"/>
    <w:rsid w:val="001C44A4"/>
    <w:rsid w:val="001C516F"/>
    <w:rsid w:val="001D2CEB"/>
    <w:rsid w:val="001F2B43"/>
    <w:rsid w:val="001F59B9"/>
    <w:rsid w:val="001F5C06"/>
    <w:rsid w:val="0020121C"/>
    <w:rsid w:val="00203696"/>
    <w:rsid w:val="00215304"/>
    <w:rsid w:val="00223A95"/>
    <w:rsid w:val="00225E2D"/>
    <w:rsid w:val="00232669"/>
    <w:rsid w:val="00237436"/>
    <w:rsid w:val="002402E9"/>
    <w:rsid w:val="00244FC7"/>
    <w:rsid w:val="00252A9B"/>
    <w:rsid w:val="002534BA"/>
    <w:rsid w:val="00255ADC"/>
    <w:rsid w:val="002568C4"/>
    <w:rsid w:val="00257C90"/>
    <w:rsid w:val="0026146F"/>
    <w:rsid w:val="0026760E"/>
    <w:rsid w:val="002735B6"/>
    <w:rsid w:val="00273B56"/>
    <w:rsid w:val="00274315"/>
    <w:rsid w:val="0027439B"/>
    <w:rsid w:val="0028256C"/>
    <w:rsid w:val="002911B0"/>
    <w:rsid w:val="002A4FCB"/>
    <w:rsid w:val="002A60EC"/>
    <w:rsid w:val="002A6BD9"/>
    <w:rsid w:val="002B3F50"/>
    <w:rsid w:val="002B4BA2"/>
    <w:rsid w:val="002B534A"/>
    <w:rsid w:val="002B5397"/>
    <w:rsid w:val="002C381C"/>
    <w:rsid w:val="002C67DD"/>
    <w:rsid w:val="002D2412"/>
    <w:rsid w:val="002D3C33"/>
    <w:rsid w:val="002D6A2D"/>
    <w:rsid w:val="002F771E"/>
    <w:rsid w:val="003043EA"/>
    <w:rsid w:val="003075D7"/>
    <w:rsid w:val="0031099E"/>
    <w:rsid w:val="00330A6E"/>
    <w:rsid w:val="00331B89"/>
    <w:rsid w:val="003322B3"/>
    <w:rsid w:val="00333A9E"/>
    <w:rsid w:val="003367AA"/>
    <w:rsid w:val="0034771A"/>
    <w:rsid w:val="00353F8A"/>
    <w:rsid w:val="003614EE"/>
    <w:rsid w:val="00372F9F"/>
    <w:rsid w:val="00374786"/>
    <w:rsid w:val="003A60BF"/>
    <w:rsid w:val="003B3485"/>
    <w:rsid w:val="003C1E6B"/>
    <w:rsid w:val="003C392E"/>
    <w:rsid w:val="003C5722"/>
    <w:rsid w:val="003C61DE"/>
    <w:rsid w:val="003C6DBB"/>
    <w:rsid w:val="003D200E"/>
    <w:rsid w:val="003D4F25"/>
    <w:rsid w:val="003E3089"/>
    <w:rsid w:val="003E5846"/>
    <w:rsid w:val="003F66A1"/>
    <w:rsid w:val="0040215A"/>
    <w:rsid w:val="00402522"/>
    <w:rsid w:val="004025A4"/>
    <w:rsid w:val="0040354F"/>
    <w:rsid w:val="00412FF8"/>
    <w:rsid w:val="00413AA0"/>
    <w:rsid w:val="00414545"/>
    <w:rsid w:val="00415A88"/>
    <w:rsid w:val="00432B2A"/>
    <w:rsid w:val="00435623"/>
    <w:rsid w:val="0043768D"/>
    <w:rsid w:val="00437910"/>
    <w:rsid w:val="00453C7A"/>
    <w:rsid w:val="00460C4E"/>
    <w:rsid w:val="00466376"/>
    <w:rsid w:val="00467017"/>
    <w:rsid w:val="0047034B"/>
    <w:rsid w:val="00473126"/>
    <w:rsid w:val="00477843"/>
    <w:rsid w:val="00490801"/>
    <w:rsid w:val="00494F1A"/>
    <w:rsid w:val="00496C15"/>
    <w:rsid w:val="004C52D3"/>
    <w:rsid w:val="004C7F7C"/>
    <w:rsid w:val="004F0F21"/>
    <w:rsid w:val="00501CB9"/>
    <w:rsid w:val="00515D70"/>
    <w:rsid w:val="005171F3"/>
    <w:rsid w:val="0052462A"/>
    <w:rsid w:val="00527713"/>
    <w:rsid w:val="00530C6B"/>
    <w:rsid w:val="00542A9E"/>
    <w:rsid w:val="00543EA1"/>
    <w:rsid w:val="00560350"/>
    <w:rsid w:val="00561F90"/>
    <w:rsid w:val="00564DD5"/>
    <w:rsid w:val="00572D13"/>
    <w:rsid w:val="00573170"/>
    <w:rsid w:val="00577AF9"/>
    <w:rsid w:val="00581A81"/>
    <w:rsid w:val="00587487"/>
    <w:rsid w:val="005876C8"/>
    <w:rsid w:val="00593347"/>
    <w:rsid w:val="005A1140"/>
    <w:rsid w:val="005A26EB"/>
    <w:rsid w:val="005B7876"/>
    <w:rsid w:val="005C1D63"/>
    <w:rsid w:val="005C793A"/>
    <w:rsid w:val="005D1C4C"/>
    <w:rsid w:val="005D54A0"/>
    <w:rsid w:val="005E4071"/>
    <w:rsid w:val="00610BAF"/>
    <w:rsid w:val="00611C5D"/>
    <w:rsid w:val="006218B4"/>
    <w:rsid w:val="00630E41"/>
    <w:rsid w:val="00631AEA"/>
    <w:rsid w:val="006355DE"/>
    <w:rsid w:val="006363A3"/>
    <w:rsid w:val="00636776"/>
    <w:rsid w:val="0063712E"/>
    <w:rsid w:val="00642586"/>
    <w:rsid w:val="00645731"/>
    <w:rsid w:val="00646950"/>
    <w:rsid w:val="00653037"/>
    <w:rsid w:val="006537E4"/>
    <w:rsid w:val="00655C6B"/>
    <w:rsid w:val="00663F68"/>
    <w:rsid w:val="00665679"/>
    <w:rsid w:val="00673DD5"/>
    <w:rsid w:val="0068336E"/>
    <w:rsid w:val="00683E32"/>
    <w:rsid w:val="00690C1B"/>
    <w:rsid w:val="00692620"/>
    <w:rsid w:val="0069597E"/>
    <w:rsid w:val="006B16B4"/>
    <w:rsid w:val="006C4201"/>
    <w:rsid w:val="006D09CE"/>
    <w:rsid w:val="006D18BC"/>
    <w:rsid w:val="00700C04"/>
    <w:rsid w:val="0070206C"/>
    <w:rsid w:val="00712810"/>
    <w:rsid w:val="007154FC"/>
    <w:rsid w:val="00716B4D"/>
    <w:rsid w:val="00721376"/>
    <w:rsid w:val="00721AE0"/>
    <w:rsid w:val="007316D4"/>
    <w:rsid w:val="00743A1E"/>
    <w:rsid w:val="00752F64"/>
    <w:rsid w:val="007556AE"/>
    <w:rsid w:val="007710D4"/>
    <w:rsid w:val="00785AFF"/>
    <w:rsid w:val="00790017"/>
    <w:rsid w:val="00793369"/>
    <w:rsid w:val="007A13FF"/>
    <w:rsid w:val="007A2BDB"/>
    <w:rsid w:val="007B34F6"/>
    <w:rsid w:val="007C0CA0"/>
    <w:rsid w:val="007C5718"/>
    <w:rsid w:val="007E4FF7"/>
    <w:rsid w:val="007E688B"/>
    <w:rsid w:val="00801244"/>
    <w:rsid w:val="00805D4C"/>
    <w:rsid w:val="008173C2"/>
    <w:rsid w:val="00846AAD"/>
    <w:rsid w:val="008504FE"/>
    <w:rsid w:val="00851F29"/>
    <w:rsid w:val="00852B69"/>
    <w:rsid w:val="00852D45"/>
    <w:rsid w:val="00855548"/>
    <w:rsid w:val="00861B54"/>
    <w:rsid w:val="00865711"/>
    <w:rsid w:val="0086618F"/>
    <w:rsid w:val="00867A16"/>
    <w:rsid w:val="008742B2"/>
    <w:rsid w:val="00874558"/>
    <w:rsid w:val="008763F3"/>
    <w:rsid w:val="00885DAF"/>
    <w:rsid w:val="008A6AF6"/>
    <w:rsid w:val="008A6E84"/>
    <w:rsid w:val="008B162C"/>
    <w:rsid w:val="008B4320"/>
    <w:rsid w:val="008B513D"/>
    <w:rsid w:val="008B6C57"/>
    <w:rsid w:val="008C295A"/>
    <w:rsid w:val="008C7968"/>
    <w:rsid w:val="008D1862"/>
    <w:rsid w:val="008D7217"/>
    <w:rsid w:val="008E29AF"/>
    <w:rsid w:val="008F71ED"/>
    <w:rsid w:val="00902E08"/>
    <w:rsid w:val="00917A59"/>
    <w:rsid w:val="00922399"/>
    <w:rsid w:val="0092314F"/>
    <w:rsid w:val="0093111B"/>
    <w:rsid w:val="00942988"/>
    <w:rsid w:val="00944E52"/>
    <w:rsid w:val="009459E5"/>
    <w:rsid w:val="00955EAF"/>
    <w:rsid w:val="00976AE7"/>
    <w:rsid w:val="009773BA"/>
    <w:rsid w:val="00982A23"/>
    <w:rsid w:val="0099727B"/>
    <w:rsid w:val="0099752B"/>
    <w:rsid w:val="009A0D79"/>
    <w:rsid w:val="009A0E19"/>
    <w:rsid w:val="009A19BB"/>
    <w:rsid w:val="009A1A54"/>
    <w:rsid w:val="009A53B9"/>
    <w:rsid w:val="009B2297"/>
    <w:rsid w:val="009B5F4A"/>
    <w:rsid w:val="009C4342"/>
    <w:rsid w:val="009C4B81"/>
    <w:rsid w:val="009D3A7E"/>
    <w:rsid w:val="009F1E37"/>
    <w:rsid w:val="009F4BBD"/>
    <w:rsid w:val="00A02697"/>
    <w:rsid w:val="00A05FB6"/>
    <w:rsid w:val="00A12B3C"/>
    <w:rsid w:val="00A14557"/>
    <w:rsid w:val="00A22B99"/>
    <w:rsid w:val="00A36710"/>
    <w:rsid w:val="00A42A82"/>
    <w:rsid w:val="00A42D88"/>
    <w:rsid w:val="00A43CAA"/>
    <w:rsid w:val="00A44377"/>
    <w:rsid w:val="00A45CA1"/>
    <w:rsid w:val="00A50A2D"/>
    <w:rsid w:val="00A51F02"/>
    <w:rsid w:val="00A55512"/>
    <w:rsid w:val="00A71605"/>
    <w:rsid w:val="00A7469C"/>
    <w:rsid w:val="00A762E4"/>
    <w:rsid w:val="00A83340"/>
    <w:rsid w:val="00A84BA4"/>
    <w:rsid w:val="00A95FAB"/>
    <w:rsid w:val="00AB34BF"/>
    <w:rsid w:val="00AB62A5"/>
    <w:rsid w:val="00AC0A90"/>
    <w:rsid w:val="00AC43BD"/>
    <w:rsid w:val="00AC6BCC"/>
    <w:rsid w:val="00AC71D6"/>
    <w:rsid w:val="00AD3CB1"/>
    <w:rsid w:val="00AE0711"/>
    <w:rsid w:val="00AE48B6"/>
    <w:rsid w:val="00AF1726"/>
    <w:rsid w:val="00AF427D"/>
    <w:rsid w:val="00B02FA3"/>
    <w:rsid w:val="00B11AE5"/>
    <w:rsid w:val="00B26647"/>
    <w:rsid w:val="00B52962"/>
    <w:rsid w:val="00B6056F"/>
    <w:rsid w:val="00B6192F"/>
    <w:rsid w:val="00B669F3"/>
    <w:rsid w:val="00B73569"/>
    <w:rsid w:val="00B73AE0"/>
    <w:rsid w:val="00B77DE5"/>
    <w:rsid w:val="00B8219F"/>
    <w:rsid w:val="00B876E8"/>
    <w:rsid w:val="00B91A6E"/>
    <w:rsid w:val="00B92E7A"/>
    <w:rsid w:val="00B94A46"/>
    <w:rsid w:val="00B958B1"/>
    <w:rsid w:val="00BA6DF7"/>
    <w:rsid w:val="00BA7FCF"/>
    <w:rsid w:val="00BB1475"/>
    <w:rsid w:val="00BB3B31"/>
    <w:rsid w:val="00BC0BA4"/>
    <w:rsid w:val="00BD0C29"/>
    <w:rsid w:val="00BD7F79"/>
    <w:rsid w:val="00BE2F61"/>
    <w:rsid w:val="00BF4A1C"/>
    <w:rsid w:val="00C256F1"/>
    <w:rsid w:val="00C42691"/>
    <w:rsid w:val="00C43EA1"/>
    <w:rsid w:val="00C44478"/>
    <w:rsid w:val="00C57906"/>
    <w:rsid w:val="00C71D02"/>
    <w:rsid w:val="00C73E1F"/>
    <w:rsid w:val="00C73F35"/>
    <w:rsid w:val="00C779AF"/>
    <w:rsid w:val="00C85F13"/>
    <w:rsid w:val="00C95925"/>
    <w:rsid w:val="00CA41DF"/>
    <w:rsid w:val="00CA4471"/>
    <w:rsid w:val="00CB1F90"/>
    <w:rsid w:val="00CB75A0"/>
    <w:rsid w:val="00CB7EB9"/>
    <w:rsid w:val="00CC5C91"/>
    <w:rsid w:val="00CD15A6"/>
    <w:rsid w:val="00CD2823"/>
    <w:rsid w:val="00CE694A"/>
    <w:rsid w:val="00CF500A"/>
    <w:rsid w:val="00D000D6"/>
    <w:rsid w:val="00D0054A"/>
    <w:rsid w:val="00D02988"/>
    <w:rsid w:val="00D13632"/>
    <w:rsid w:val="00D15911"/>
    <w:rsid w:val="00D16DF8"/>
    <w:rsid w:val="00D17BC3"/>
    <w:rsid w:val="00D214D1"/>
    <w:rsid w:val="00D24AC6"/>
    <w:rsid w:val="00D331CF"/>
    <w:rsid w:val="00D40160"/>
    <w:rsid w:val="00D4246F"/>
    <w:rsid w:val="00D5012D"/>
    <w:rsid w:val="00D5320E"/>
    <w:rsid w:val="00D55DC6"/>
    <w:rsid w:val="00D62409"/>
    <w:rsid w:val="00D629D2"/>
    <w:rsid w:val="00D62FD6"/>
    <w:rsid w:val="00D64D68"/>
    <w:rsid w:val="00D64FB5"/>
    <w:rsid w:val="00D65517"/>
    <w:rsid w:val="00D72F45"/>
    <w:rsid w:val="00D73F5D"/>
    <w:rsid w:val="00D769FC"/>
    <w:rsid w:val="00D775FA"/>
    <w:rsid w:val="00D9669B"/>
    <w:rsid w:val="00DA1BD4"/>
    <w:rsid w:val="00DA4D13"/>
    <w:rsid w:val="00DB317A"/>
    <w:rsid w:val="00DB47C4"/>
    <w:rsid w:val="00DC1AF9"/>
    <w:rsid w:val="00DC1FC9"/>
    <w:rsid w:val="00DC4D84"/>
    <w:rsid w:val="00DD7484"/>
    <w:rsid w:val="00DF1C52"/>
    <w:rsid w:val="00E02466"/>
    <w:rsid w:val="00E03FD9"/>
    <w:rsid w:val="00E051EC"/>
    <w:rsid w:val="00E13283"/>
    <w:rsid w:val="00E2743D"/>
    <w:rsid w:val="00E274A4"/>
    <w:rsid w:val="00E27CD7"/>
    <w:rsid w:val="00E301A4"/>
    <w:rsid w:val="00E30984"/>
    <w:rsid w:val="00E46494"/>
    <w:rsid w:val="00E54ECB"/>
    <w:rsid w:val="00E70237"/>
    <w:rsid w:val="00E72D89"/>
    <w:rsid w:val="00E802E7"/>
    <w:rsid w:val="00E80854"/>
    <w:rsid w:val="00E80D45"/>
    <w:rsid w:val="00E81C54"/>
    <w:rsid w:val="00E87AE4"/>
    <w:rsid w:val="00E90740"/>
    <w:rsid w:val="00E97684"/>
    <w:rsid w:val="00EB4BCD"/>
    <w:rsid w:val="00EC012B"/>
    <w:rsid w:val="00EC1767"/>
    <w:rsid w:val="00EC367D"/>
    <w:rsid w:val="00EC4A4B"/>
    <w:rsid w:val="00ED64D8"/>
    <w:rsid w:val="00F07740"/>
    <w:rsid w:val="00F14CFB"/>
    <w:rsid w:val="00F35CFF"/>
    <w:rsid w:val="00F372DE"/>
    <w:rsid w:val="00F41DA4"/>
    <w:rsid w:val="00F47777"/>
    <w:rsid w:val="00F52D43"/>
    <w:rsid w:val="00F635F3"/>
    <w:rsid w:val="00F6467B"/>
    <w:rsid w:val="00F766C9"/>
    <w:rsid w:val="00F82340"/>
    <w:rsid w:val="00F826F2"/>
    <w:rsid w:val="00F8284F"/>
    <w:rsid w:val="00F858FF"/>
    <w:rsid w:val="00F87065"/>
    <w:rsid w:val="00F927FC"/>
    <w:rsid w:val="00FA644C"/>
    <w:rsid w:val="00FB4683"/>
    <w:rsid w:val="00FB55D0"/>
    <w:rsid w:val="00FC1C71"/>
    <w:rsid w:val="00FC2B05"/>
    <w:rsid w:val="00FC4129"/>
    <w:rsid w:val="00FC6DE5"/>
    <w:rsid w:val="00FD4582"/>
    <w:rsid w:val="00FD782D"/>
    <w:rsid w:val="00FE1782"/>
    <w:rsid w:val="00FE2B12"/>
    <w:rsid w:val="00FE2F44"/>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 w:type="character" w:customStyle="1" w:styleId="fontstyle01">
    <w:name w:val="fontstyle01"/>
    <w:basedOn w:val="a0"/>
    <w:rsid w:val="00413AA0"/>
    <w:rPr>
      <w:rFonts w:ascii="华文楷体" w:eastAsia="华文楷体" w:hAnsi="华文楷体" w:hint="eastAsia"/>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C88B9-BFB1-41ED-A5A7-A23DA75A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Pages>
  <Words>1136</Words>
  <Characters>6479</Characters>
  <Application>Microsoft Office Word</Application>
  <DocSecurity>0</DocSecurity>
  <Lines>53</Lines>
  <Paragraphs>15</Paragraphs>
  <ScaleCrop>false</ScaleCrop>
  <Company/>
  <LinksUpToDate>false</LinksUpToDate>
  <CharactersWithSpaces>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ccw</cp:lastModifiedBy>
  <cp:revision>116</cp:revision>
  <cp:lastPrinted>2017-01-24T08:56:00Z</cp:lastPrinted>
  <dcterms:created xsi:type="dcterms:W3CDTF">2016-12-21T02:54:00Z</dcterms:created>
  <dcterms:modified xsi:type="dcterms:W3CDTF">2017-02-27T00:31:00Z</dcterms:modified>
</cp:coreProperties>
</file>