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59" w:rsidRPr="005428AE" w:rsidRDefault="00B431C1" w:rsidP="005428AE">
      <w:pPr>
        <w:spacing w:line="360" w:lineRule="auto"/>
        <w:ind w:firstLineChars="200" w:firstLine="562"/>
        <w:jc w:val="center"/>
        <w:rPr>
          <w:rFonts w:ascii="仿宋" w:eastAsia="仿宋" w:hAnsi="仿宋"/>
          <w:b/>
          <w:sz w:val="28"/>
          <w:szCs w:val="28"/>
        </w:rPr>
      </w:pPr>
      <w:r w:rsidRPr="005428AE">
        <w:rPr>
          <w:rFonts w:ascii="仿宋" w:eastAsia="仿宋" w:hAnsi="仿宋" w:hint="eastAsia"/>
          <w:b/>
          <w:sz w:val="28"/>
          <w:szCs w:val="28"/>
        </w:rPr>
        <w:t>公平在身边</w:t>
      </w:r>
      <w:r w:rsidR="00030F59" w:rsidRPr="005428AE">
        <w:rPr>
          <w:rFonts w:ascii="仿宋" w:eastAsia="仿宋" w:hAnsi="仿宋" w:hint="eastAsia"/>
          <w:b/>
          <w:sz w:val="28"/>
          <w:szCs w:val="28"/>
        </w:rPr>
        <w:t xml:space="preserve"> </w:t>
      </w:r>
      <w:r w:rsidR="00030F59" w:rsidRPr="005428AE">
        <w:rPr>
          <w:rFonts w:ascii="仿宋" w:eastAsia="仿宋" w:hAnsi="仿宋"/>
          <w:b/>
          <w:sz w:val="28"/>
          <w:szCs w:val="28"/>
        </w:rPr>
        <w:t xml:space="preserve">| </w:t>
      </w:r>
      <w:bookmarkStart w:id="0" w:name="_GoBack"/>
      <w:bookmarkEnd w:id="0"/>
      <w:r w:rsidRPr="005428AE">
        <w:rPr>
          <w:rFonts w:ascii="仿宋" w:eastAsia="仿宋" w:hAnsi="仿宋"/>
          <w:b/>
          <w:sz w:val="28"/>
          <w:szCs w:val="28"/>
        </w:rPr>
        <w:t>债券投资者问答</w:t>
      </w:r>
      <w:r w:rsidR="00030F59" w:rsidRPr="005428AE">
        <w:rPr>
          <w:rFonts w:ascii="仿宋" w:eastAsia="仿宋" w:hAnsi="仿宋" w:hint="eastAsia"/>
          <w:b/>
          <w:sz w:val="28"/>
          <w:szCs w:val="28"/>
        </w:rPr>
        <w:t>-司法救济篇</w:t>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5428AE">
        <w:rPr>
          <w:rFonts w:ascii="仿宋" w:eastAsia="仿宋" w:hAnsi="仿宋"/>
          <w:sz w:val="28"/>
          <w:szCs w:val="28"/>
        </w:rPr>
        <w:t>59个问题，内容涉及基础知识、发行交易、投资风险、投资者</w:t>
      </w:r>
      <w:r w:rsidRPr="005428AE">
        <w:rPr>
          <w:rFonts w:ascii="仿宋" w:eastAsia="仿宋" w:hAnsi="仿宋" w:hint="eastAsia"/>
          <w:sz w:val="28"/>
          <w:szCs w:val="28"/>
        </w:rPr>
        <w:t>保护等方面。现将这些问题解答汇编成册，供大家参考。</w:t>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hint="eastAsia"/>
          <w:noProof/>
          <w:sz w:val="28"/>
          <w:szCs w:val="28"/>
        </w:rPr>
        <w:drawing>
          <wp:inline distT="0" distB="0" distL="114300" distR="114300">
            <wp:extent cx="2652395" cy="1938655"/>
            <wp:effectExtent l="0" t="0" r="14605" b="4445"/>
            <wp:docPr id="2" name="图片 2" descr="债券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债券17"/>
                    <pic:cNvPicPr>
                      <a:picLocks noChangeAspect="1"/>
                    </pic:cNvPicPr>
                  </pic:nvPicPr>
                  <pic:blipFill>
                    <a:blip r:embed="rId7" cstate="print"/>
                    <a:stretch>
                      <a:fillRect/>
                    </a:stretch>
                  </pic:blipFill>
                  <pic:spPr>
                    <a:xfrm>
                      <a:off x="0" y="0"/>
                      <a:ext cx="2652395" cy="1938655"/>
                    </a:xfrm>
                    <a:prstGeom prst="rect">
                      <a:avLst/>
                    </a:prstGeom>
                  </pic:spPr>
                </pic:pic>
              </a:graphicData>
            </a:graphic>
          </wp:inline>
        </w:drawing>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sz w:val="28"/>
          <w:szCs w:val="28"/>
        </w:rPr>
        <w:t>54.债券违约后投资者有哪些救济方法？</w:t>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hint="eastAsia"/>
          <w:sz w:val="28"/>
          <w:szCs w:val="28"/>
        </w:rPr>
        <w:t>答：债券违约后，投资者可以视情况采取下列救济途径：一是自主协商。如果预期债务人企业的经营状况只是暂时出现问题，而且诉</w:t>
      </w:r>
      <w:r w:rsidRPr="005428AE">
        <w:rPr>
          <w:rFonts w:ascii="仿宋" w:eastAsia="仿宋" w:hAnsi="仿宋" w:hint="eastAsia"/>
          <w:sz w:val="28"/>
          <w:szCs w:val="28"/>
        </w:rPr>
        <w:lastRenderedPageBreak/>
        <w:t>诸司法成本相对较高，债权人可以考虑选择自主协商方式，与债务人就后续的偿债安排协商达成一致，包括展期或者制订具体的债务重组方案等。二是仲裁。一般而言，仲裁与诉讼方式相比，时效上较快，但仲裁委收取的费用高于法院收取的诉讼费。实践中有私募债持有人采用该方式解决纠纷。三是违约求偿诉讼。债权人预期债务人企业的经营状况已经出现恶化并有持续的趋势，但债务到期时，债务人还有一定的偿付能力，投资人可以提起违约求偿诉讼，要求债务人在限期内偿付本息、支付逾期利息等。四是破产诉讼。如果债务人已经出现资不抵债情况，债券持有人可以申请破产重整、破产和解或破产清算。向法院或仲裁机构申请司法处置的同时，为避免财产遭受进一步损失，债权人可依法申请法定机关采取财产保全措施。</w:t>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sz w:val="28"/>
          <w:szCs w:val="28"/>
        </w:rPr>
        <w:t>55.债券违约后，债券持有人是否可以共同诉讼？</w:t>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hint="eastAsia"/>
          <w:sz w:val="28"/>
          <w:szCs w:val="28"/>
        </w:rPr>
        <w:t>答：根据《民事诉讼法》的规定，</w:t>
      </w:r>
      <w:r w:rsidRPr="005428AE">
        <w:rPr>
          <w:rFonts w:ascii="仿宋" w:eastAsia="仿宋" w:hAnsi="仿宋"/>
          <w:sz w:val="28"/>
          <w:szCs w:val="28"/>
        </w:rPr>
        <w:t>"当事人一方或者双方为两人以上，其诉讼标的是共同的，或者诉讼标的是同一种类，人民法院认为可以合并审理并经当事人同意的，为共同诉讼。共同诉讼的一方当事人对诉讼标的有共同权利义务的，其中一人的诉讼行为经其他共同诉讼人承认，对其他共同诉讼人发生效力；对诉讼标的没有共同权利义务的，其中一人的诉讼行为对其他共同诉讼人不发生效力"。债券本质是发行人和持有人基于《合同法》的债权债务关系，当债券发生违约时，诉讼标的均是发行人应承担的违约责</w:t>
      </w:r>
      <w:r w:rsidRPr="005428AE">
        <w:rPr>
          <w:rFonts w:ascii="仿宋" w:eastAsia="仿宋" w:hAnsi="仿宋" w:hint="eastAsia"/>
          <w:sz w:val="28"/>
          <w:szCs w:val="28"/>
        </w:rPr>
        <w:t>任，符合《民事诉讼法》</w:t>
      </w:r>
      <w:r w:rsidRPr="005428AE">
        <w:rPr>
          <w:rFonts w:ascii="仿宋" w:eastAsia="仿宋" w:hAnsi="仿宋" w:hint="eastAsia"/>
          <w:sz w:val="28"/>
          <w:szCs w:val="28"/>
        </w:rPr>
        <w:lastRenderedPageBreak/>
        <w:t>的相关要求，因此债券持有人可以依法提请法院采取共同诉讼。</w:t>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sz w:val="28"/>
          <w:szCs w:val="28"/>
        </w:rPr>
        <w:t>56.债券持有人会议决议对发行人有约束力吗？</w:t>
      </w:r>
    </w:p>
    <w:p w:rsidR="00837FD2" w:rsidRPr="005428AE" w:rsidRDefault="00837FD2" w:rsidP="005428AE">
      <w:pPr>
        <w:spacing w:line="360" w:lineRule="auto"/>
        <w:ind w:firstLineChars="200" w:firstLine="560"/>
        <w:jc w:val="left"/>
        <w:rPr>
          <w:rFonts w:ascii="仿宋" w:eastAsia="仿宋" w:hAnsi="仿宋"/>
          <w:sz w:val="28"/>
          <w:szCs w:val="28"/>
        </w:rPr>
      </w:pPr>
    </w:p>
    <w:p w:rsidR="00837FD2" w:rsidRPr="005428AE" w:rsidRDefault="00B431C1" w:rsidP="005428AE">
      <w:pPr>
        <w:spacing w:line="360" w:lineRule="auto"/>
        <w:ind w:firstLineChars="200" w:firstLine="560"/>
        <w:jc w:val="left"/>
        <w:rPr>
          <w:rFonts w:ascii="仿宋" w:eastAsia="仿宋" w:hAnsi="仿宋"/>
          <w:sz w:val="28"/>
          <w:szCs w:val="28"/>
        </w:rPr>
      </w:pPr>
      <w:r w:rsidRPr="005428AE">
        <w:rPr>
          <w:rFonts w:ascii="仿宋" w:eastAsia="仿宋" w:hAnsi="仿宋" w:hint="eastAsia"/>
          <w:sz w:val="28"/>
          <w:szCs w:val="28"/>
        </w:rPr>
        <w:t>答：债券持有人会议是在债券发行人与持有人双方意思自治的范畴内的对话平台和制度产物，基于合同约定对发行人具有约束力。因此，应将持有人会议决议可产生的约束力在募集说明书中写清楚，持有人会议就相关事项形成的决议，双方应当执行，否则构成违约行为。同时，相关决议在诉讼中可以作为证据使用。</w:t>
      </w:r>
    </w:p>
    <w:p w:rsidR="00837FD2" w:rsidRPr="005428AE" w:rsidRDefault="00837FD2" w:rsidP="005428AE">
      <w:pPr>
        <w:spacing w:line="360" w:lineRule="auto"/>
        <w:ind w:firstLineChars="200" w:firstLine="560"/>
        <w:jc w:val="left"/>
        <w:rPr>
          <w:rFonts w:ascii="仿宋" w:eastAsia="仿宋" w:hAnsi="仿宋"/>
          <w:sz w:val="28"/>
          <w:szCs w:val="28"/>
        </w:rPr>
      </w:pPr>
    </w:p>
    <w:sectPr w:rsidR="00837FD2" w:rsidRPr="005428AE" w:rsidSect="00E13A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88" w:rsidRDefault="00EB5788" w:rsidP="00030F59">
      <w:r>
        <w:separator/>
      </w:r>
    </w:p>
  </w:endnote>
  <w:endnote w:type="continuationSeparator" w:id="1">
    <w:p w:rsidR="00EB5788" w:rsidRDefault="00EB5788" w:rsidP="00030F5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88" w:rsidRDefault="00EB5788" w:rsidP="00030F59">
      <w:r>
        <w:separator/>
      </w:r>
    </w:p>
  </w:footnote>
  <w:footnote w:type="continuationSeparator" w:id="1">
    <w:p w:rsidR="00EB5788" w:rsidRDefault="00EB5788" w:rsidP="00030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C46"/>
    <w:rsid w:val="00030F59"/>
    <w:rsid w:val="00037E74"/>
    <w:rsid w:val="00126067"/>
    <w:rsid w:val="001A7F0A"/>
    <w:rsid w:val="00230C46"/>
    <w:rsid w:val="004A144B"/>
    <w:rsid w:val="005428AE"/>
    <w:rsid w:val="007924F3"/>
    <w:rsid w:val="00837FD2"/>
    <w:rsid w:val="00AD4CB4"/>
    <w:rsid w:val="00B431C1"/>
    <w:rsid w:val="00E13A7A"/>
    <w:rsid w:val="00EB5788"/>
    <w:rsid w:val="1A947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A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13A7A"/>
    <w:pPr>
      <w:tabs>
        <w:tab w:val="center" w:pos="4153"/>
        <w:tab w:val="right" w:pos="8306"/>
      </w:tabs>
      <w:snapToGrid w:val="0"/>
      <w:jc w:val="left"/>
    </w:pPr>
    <w:rPr>
      <w:sz w:val="18"/>
      <w:szCs w:val="18"/>
    </w:rPr>
  </w:style>
  <w:style w:type="paragraph" w:styleId="a4">
    <w:name w:val="header"/>
    <w:basedOn w:val="a"/>
    <w:link w:val="Char0"/>
    <w:uiPriority w:val="99"/>
    <w:unhideWhenUsed/>
    <w:rsid w:val="00E13A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13A7A"/>
    <w:rPr>
      <w:sz w:val="18"/>
      <w:szCs w:val="18"/>
    </w:rPr>
  </w:style>
  <w:style w:type="character" w:customStyle="1" w:styleId="Char">
    <w:name w:val="页脚 Char"/>
    <w:basedOn w:val="a0"/>
    <w:link w:val="a3"/>
    <w:uiPriority w:val="99"/>
    <w:rsid w:val="00E13A7A"/>
    <w:rPr>
      <w:sz w:val="18"/>
      <w:szCs w:val="18"/>
    </w:rPr>
  </w:style>
  <w:style w:type="paragraph" w:styleId="a5">
    <w:name w:val="Balloon Text"/>
    <w:basedOn w:val="a"/>
    <w:link w:val="Char1"/>
    <w:uiPriority w:val="99"/>
    <w:semiHidden/>
    <w:unhideWhenUsed/>
    <w:rsid w:val="005428AE"/>
    <w:rPr>
      <w:sz w:val="18"/>
      <w:szCs w:val="18"/>
    </w:rPr>
  </w:style>
  <w:style w:type="character" w:customStyle="1" w:styleId="Char1">
    <w:name w:val="批注框文本 Char"/>
    <w:basedOn w:val="a0"/>
    <w:link w:val="a5"/>
    <w:uiPriority w:val="99"/>
    <w:semiHidden/>
    <w:rsid w:val="005428A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5</cp:revision>
  <dcterms:created xsi:type="dcterms:W3CDTF">2017-11-22T07:14:00Z</dcterms:created>
  <dcterms:modified xsi:type="dcterms:W3CDTF">2018-04-04T08:46:00Z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